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8F1AD" w14:textId="46E41BCA" w:rsidR="00BD625B" w:rsidRPr="00BD625B" w:rsidRDefault="00F12B88" w:rsidP="00BD625B">
      <w:pPr>
        <w:pBdr>
          <w:bottom w:val="single" w:sz="8" w:space="1" w:color="5B7FA6"/>
        </w:pBdr>
        <w:spacing w:after="60"/>
        <w:jc w:val="center"/>
        <w:rPr>
          <w:rFonts w:ascii="Arial" w:eastAsia="Arial" w:hAnsi="Arial" w:cs="Arial"/>
          <w:b/>
          <w:bCs/>
          <w:color w:val="2C4770"/>
          <w:sz w:val="36"/>
          <w:szCs w:val="36"/>
        </w:rPr>
      </w:pPr>
      <w:r>
        <w:rPr>
          <w:rFonts w:ascii="Arial" w:eastAsia="Arial" w:hAnsi="Arial" w:cs="Arial"/>
          <w:b/>
          <w:bCs/>
          <w:color w:val="2C4770"/>
          <w:sz w:val="36"/>
          <w:szCs w:val="36"/>
        </w:rPr>
        <w:t>Exhibit</w:t>
      </w:r>
      <w:r w:rsidR="00261A63">
        <w:rPr>
          <w:rFonts w:ascii="Arial" w:eastAsia="Arial" w:hAnsi="Arial" w:cs="Arial"/>
          <w:b/>
          <w:bCs/>
          <w:color w:val="2C4770"/>
          <w:sz w:val="36"/>
          <w:szCs w:val="36"/>
        </w:rPr>
        <w:t>ion</w:t>
      </w:r>
      <w:r>
        <w:rPr>
          <w:rFonts w:ascii="Arial" w:eastAsia="Arial" w:hAnsi="Arial" w:cs="Arial"/>
          <w:b/>
          <w:bCs/>
          <w:color w:val="2C4770"/>
          <w:sz w:val="36"/>
          <w:szCs w:val="36"/>
        </w:rPr>
        <w:t>-Based Learning at Trinity College</w:t>
      </w:r>
    </w:p>
    <w:p w14:paraId="30BA8C90" w14:textId="5E64983D" w:rsidR="00D020F9" w:rsidRDefault="00F12B88">
      <w:pPr>
        <w:spacing w:before="80" w:after="60"/>
        <w:jc w:val="center"/>
      </w:pPr>
      <w:r>
        <w:rPr>
          <w:rFonts w:ascii="Arial" w:eastAsia="Arial" w:hAnsi="Arial" w:cs="Arial"/>
          <w:i/>
          <w:iCs/>
          <w:color w:val="666666"/>
          <w:sz w:val="24"/>
          <w:szCs w:val="24"/>
        </w:rPr>
        <w:t>A Faculty Guide to Widener Gallery</w:t>
      </w:r>
    </w:p>
    <w:p w14:paraId="7FAF43A1" w14:textId="5B035EF9" w:rsidR="00D020F9" w:rsidRDefault="00F12B88">
      <w:pPr>
        <w:spacing w:after="300"/>
        <w:jc w:val="center"/>
      </w:pPr>
      <w:r>
        <w:rPr>
          <w:rFonts w:ascii="Arial" w:eastAsia="Arial" w:hAnsi="Arial" w:cs="Arial"/>
          <w:color w:val="999999"/>
          <w:sz w:val="20"/>
          <w:szCs w:val="20"/>
        </w:rPr>
        <w:t xml:space="preserve">Center for Teaching and </w:t>
      </w:r>
      <w:r w:rsidR="00BB122B">
        <w:rPr>
          <w:rFonts w:ascii="Arial" w:eastAsia="Arial" w:hAnsi="Arial" w:cs="Arial"/>
          <w:color w:val="999999"/>
          <w:sz w:val="20"/>
          <w:szCs w:val="20"/>
        </w:rPr>
        <w:t xml:space="preserve">Learning </w:t>
      </w:r>
      <w:proofErr w:type="gramStart"/>
      <w:r w:rsidR="00BB122B">
        <w:rPr>
          <w:rFonts w:ascii="Arial" w:eastAsia="Arial" w:hAnsi="Arial" w:cs="Arial"/>
          <w:color w:val="999999"/>
          <w:sz w:val="20"/>
          <w:szCs w:val="20"/>
        </w:rPr>
        <w:t>|</w:t>
      </w:r>
      <w:r>
        <w:rPr>
          <w:rFonts w:ascii="Arial" w:eastAsia="Arial" w:hAnsi="Arial" w:cs="Arial"/>
          <w:color w:val="999999"/>
          <w:sz w:val="20"/>
          <w:szCs w:val="20"/>
        </w:rPr>
        <w:t xml:space="preserve">  Spring</w:t>
      </w:r>
      <w:proofErr w:type="gramEnd"/>
      <w:r>
        <w:rPr>
          <w:rFonts w:ascii="Arial" w:eastAsia="Arial" w:hAnsi="Arial" w:cs="Arial"/>
          <w:color w:val="999999"/>
          <w:sz w:val="20"/>
          <w:szCs w:val="20"/>
        </w:rPr>
        <w:t xml:space="preserve"> 2026</w:t>
      </w:r>
    </w:p>
    <w:p w14:paraId="01C27718" w14:textId="5431564B" w:rsidR="00D020F9" w:rsidRDefault="00F12B88">
      <w:pPr>
        <w:pStyle w:val="Heading1"/>
      </w:pPr>
      <w:r>
        <w:t>About Widener Gallery</w:t>
      </w:r>
    </w:p>
    <w:p w14:paraId="1C5F9416" w14:textId="356233E4" w:rsidR="00D020F9" w:rsidRDefault="00F12B88">
      <w:pPr>
        <w:spacing w:after="160"/>
      </w:pPr>
      <w:r>
        <w:t xml:space="preserve">Located on the ground floor of </w:t>
      </w:r>
      <w:r w:rsidR="00BB122B">
        <w:t xml:space="preserve">the </w:t>
      </w:r>
      <w:r>
        <w:t xml:space="preserve">Austin Arts Center, Widener Gallery is Trinity’s primary formal exhibition space and </w:t>
      </w:r>
      <w:r w:rsidR="00F04AAC">
        <w:t>a</w:t>
      </w:r>
      <w:r>
        <w:t xml:space="preserve"> distinctive resou</w:t>
      </w:r>
      <w:r w:rsidR="00821AD9">
        <w:t>rce</w:t>
      </w:r>
      <w:r>
        <w:t xml:space="preserve"> available to faculty on campus. </w:t>
      </w:r>
      <w:r w:rsidR="005B3635">
        <w:t>Each semester</w:t>
      </w:r>
      <w:r>
        <w:t>, the Gallery hosts rotating</w:t>
      </w:r>
      <w:r w:rsidR="009412ED">
        <w:t>, curated</w:t>
      </w:r>
      <w:r>
        <w:t xml:space="preserve"> exhibitions </w:t>
      </w:r>
      <w:r w:rsidR="009412ED">
        <w:t xml:space="preserve">of contemporary </w:t>
      </w:r>
      <w:r w:rsidR="00DB1C2C">
        <w:t xml:space="preserve">visual </w:t>
      </w:r>
      <w:r w:rsidR="009412ED">
        <w:t>art by local, national, and international artists</w:t>
      </w:r>
      <w:r w:rsidR="00A020D4">
        <w:t>, curated by the Studio Arts Program</w:t>
      </w:r>
      <w:r w:rsidR="009412ED">
        <w:t>.</w:t>
      </w:r>
    </w:p>
    <w:p w14:paraId="3C9FBF84" w14:textId="3A930C4A" w:rsidR="00F66327" w:rsidRDefault="00F12B88" w:rsidP="00F66327">
      <w:pPr>
        <w:spacing w:after="160"/>
      </w:pPr>
      <w:r>
        <w:t>Widener Gallery</w:t>
      </w:r>
      <w:r w:rsidR="00EE1F3B">
        <w:t xml:space="preserve">’s interdisciplinary </w:t>
      </w:r>
      <w:r w:rsidR="008C7309">
        <w:t>programming</w:t>
      </w:r>
      <w:r w:rsidR="0055171C">
        <w:t xml:space="preserve"> </w:t>
      </w:r>
      <w:r w:rsidR="008E072D">
        <w:t>mak</w:t>
      </w:r>
      <w:r w:rsidR="003C699C">
        <w:t xml:space="preserve">es it an ideal resource for </w:t>
      </w:r>
      <w:r w:rsidR="001B2471">
        <w:t>collaboration</w:t>
      </w:r>
      <w:r w:rsidR="003C699C">
        <w:t xml:space="preserve"> </w:t>
      </w:r>
      <w:r w:rsidR="00033255">
        <w:t xml:space="preserve">to enhance course curricula </w:t>
      </w:r>
      <w:r w:rsidR="003C699C">
        <w:t>across departments and programs</w:t>
      </w:r>
      <w:r w:rsidR="00033255">
        <w:t>.</w:t>
      </w:r>
      <w:r w:rsidR="00AE46FB">
        <w:t xml:space="preserve"> Through class visits, </w:t>
      </w:r>
      <w:r w:rsidR="00A02591">
        <w:t>exhibition-</w:t>
      </w:r>
      <w:r w:rsidR="00035D78">
        <w:t>based</w:t>
      </w:r>
      <w:r w:rsidR="00A02591">
        <w:t xml:space="preserve"> assignments, </w:t>
      </w:r>
      <w:r w:rsidR="004D58BF">
        <w:t xml:space="preserve">attendance at gallery events, or </w:t>
      </w:r>
      <w:r w:rsidR="00A02591">
        <w:t>artist/curator talks</w:t>
      </w:r>
      <w:r w:rsidR="004D58BF" w:rsidRPr="004D58BF">
        <w:t xml:space="preserve"> </w:t>
      </w:r>
      <w:r w:rsidR="004D58BF">
        <w:t>during class time</w:t>
      </w:r>
      <w:r w:rsidR="00A02591">
        <w:t>,</w:t>
      </w:r>
      <w:r w:rsidR="0053077C">
        <w:t xml:space="preserve"> </w:t>
      </w:r>
      <w:r w:rsidR="00816A07">
        <w:t xml:space="preserve">faculty across campus </w:t>
      </w:r>
      <w:r w:rsidR="00222969">
        <w:t>are invited to include</w:t>
      </w:r>
      <w:r w:rsidR="00816A07">
        <w:t xml:space="preserve"> </w:t>
      </w:r>
      <w:r w:rsidR="005A28DA">
        <w:t xml:space="preserve">Widener Gallery exhibitions in their </w:t>
      </w:r>
      <w:r w:rsidR="00CB06F4">
        <w:t>course</w:t>
      </w:r>
      <w:r w:rsidR="009624D2">
        <w:t xml:space="preserve"> planning</w:t>
      </w:r>
      <w:r w:rsidR="005A28DA">
        <w:t>.</w:t>
      </w:r>
      <w:r w:rsidR="00033255">
        <w:t xml:space="preserve"> </w:t>
      </w:r>
    </w:p>
    <w:p w14:paraId="148D96A5" w14:textId="2A69F909" w:rsidR="008C7309" w:rsidRDefault="00F66327">
      <w:pPr>
        <w:spacing w:after="160"/>
      </w:pPr>
      <w:r>
        <w:t>The Gallery is free and open to the public, Monday through Friday, 10 a.m. to 5 p.m., and by appointment</w:t>
      </w:r>
      <w:r w:rsidR="00161CBA">
        <w:t xml:space="preserve"> for individual or class visits outside of regular gallery hours</w:t>
      </w:r>
      <w:r>
        <w:t xml:space="preserve">. </w:t>
      </w:r>
    </w:p>
    <w:p w14:paraId="06984AC1" w14:textId="6D659BA6" w:rsidR="00D020F9" w:rsidRDefault="00F12B88">
      <w:pPr>
        <w:pStyle w:val="Heading1"/>
      </w:pPr>
      <w:r>
        <w:t>What Is Exhibit</w:t>
      </w:r>
      <w:r w:rsidR="00845908">
        <w:t>ion</w:t>
      </w:r>
      <w:r>
        <w:t>-Based Learning?</w:t>
      </w:r>
    </w:p>
    <w:p w14:paraId="1CFB22C0" w14:textId="21398F44" w:rsidR="00EE0F70" w:rsidRDefault="00F12B88">
      <w:pPr>
        <w:spacing w:after="160"/>
      </w:pPr>
      <w:r>
        <w:t>Exhibit</w:t>
      </w:r>
      <w:r w:rsidR="00845908">
        <w:t>ion</w:t>
      </w:r>
      <w:r>
        <w:t xml:space="preserve">-based learning is a pedagogical approach that uses </w:t>
      </w:r>
      <w:r w:rsidR="00B61BB5">
        <w:t xml:space="preserve">exhibition </w:t>
      </w:r>
      <w:r w:rsidR="00035D78">
        <w:t>settings and content areas</w:t>
      </w:r>
      <w:r w:rsidR="00F63405">
        <w:t xml:space="preserve"> </w:t>
      </w:r>
      <w:r>
        <w:t xml:space="preserve">as a primary site of course-based inquiry. </w:t>
      </w:r>
      <w:r w:rsidR="00E93ED4">
        <w:t>S</w:t>
      </w:r>
      <w:r>
        <w:t xml:space="preserve">tudents look carefully at </w:t>
      </w:r>
      <w:r w:rsidR="00035D78">
        <w:t xml:space="preserve">exhibition objects on display (e.g., </w:t>
      </w:r>
      <w:r>
        <w:t>works of art</w:t>
      </w:r>
      <w:r w:rsidR="00035D78">
        <w:t>)</w:t>
      </w:r>
      <w:r w:rsidR="00710F1A">
        <w:t xml:space="preserve"> and consider </w:t>
      </w:r>
      <w:r w:rsidR="00035D78">
        <w:t xml:space="preserve">how their organization speaks to larger </w:t>
      </w:r>
      <w:r w:rsidR="00710F1A">
        <w:t>exhibition concepts or themes</w:t>
      </w:r>
      <w:r>
        <w:t>, and build interpretive arguments from direct observation.</w:t>
      </w:r>
    </w:p>
    <w:p w14:paraId="00347A52" w14:textId="650D3890" w:rsidR="00DC6362" w:rsidRDefault="7FAC6B5F" w:rsidP="00DC6362">
      <w:pPr>
        <w:spacing w:after="160"/>
      </w:pPr>
      <w:r>
        <w:t>As a part of the Studio Arts Program, Widener Gallery</w:t>
      </w:r>
      <w:r w:rsidR="06E25944">
        <w:t xml:space="preserve"> </w:t>
      </w:r>
      <w:r w:rsidR="76805257">
        <w:t>serves as</w:t>
      </w:r>
      <w:r w:rsidR="06E25944">
        <w:t xml:space="preserve"> an intellectual environment designed to provoke questions. </w:t>
      </w:r>
      <w:r w:rsidR="3D3A2924">
        <w:t>Classroom visits to a</w:t>
      </w:r>
      <w:r w:rsidR="6C5AC74F">
        <w:t xml:space="preserve">rt exhibitions can help students </w:t>
      </w:r>
      <w:bookmarkStart w:id="0" w:name="_Int_obrIp5hk"/>
      <w:r w:rsidR="1D0C974C">
        <w:t>to acquire</w:t>
      </w:r>
      <w:bookmarkEnd w:id="0"/>
      <w:r w:rsidR="1D0C974C">
        <w:t xml:space="preserve"> </w:t>
      </w:r>
      <w:r w:rsidR="45693B45">
        <w:t>observation</w:t>
      </w:r>
      <w:r w:rsidR="1D0C974C">
        <w:t>al skillset</w:t>
      </w:r>
      <w:r w:rsidR="20DF45DA">
        <w:t>s</w:t>
      </w:r>
      <w:r w:rsidR="45693B45">
        <w:t xml:space="preserve">, </w:t>
      </w:r>
      <w:r w:rsidR="6C5AC74F">
        <w:t>use</w:t>
      </w:r>
      <w:r w:rsidR="1D0C974C">
        <w:t xml:space="preserve"> descriptive</w:t>
      </w:r>
      <w:r w:rsidR="6C5AC74F">
        <w:t xml:space="preserve"> language</w:t>
      </w:r>
      <w:r w:rsidR="1D0C974C">
        <w:t xml:space="preserve"> in their writing</w:t>
      </w:r>
      <w:r w:rsidR="6C5AC74F">
        <w:t xml:space="preserve">, </w:t>
      </w:r>
      <w:r w:rsidR="3D3A2924">
        <w:t>and be</w:t>
      </w:r>
      <w:r w:rsidR="4BAF76CC">
        <w:t xml:space="preserve"> willing to take interpretive risks</w:t>
      </w:r>
      <w:r w:rsidR="1D0C974C">
        <w:t xml:space="preserve"> around complex or uncertain exhibition themes</w:t>
      </w:r>
      <w:r w:rsidR="4BAF76CC">
        <w:t xml:space="preserve">. </w:t>
      </w:r>
      <w:r w:rsidR="34407695">
        <w:t>These visits</w:t>
      </w:r>
      <w:r w:rsidR="09FFEDA1">
        <w:t xml:space="preserve"> can expand upon </w:t>
      </w:r>
      <w:r w:rsidR="1D0C974C">
        <w:t xml:space="preserve">existing </w:t>
      </w:r>
      <w:r w:rsidR="09FFEDA1">
        <w:t xml:space="preserve">course material in </w:t>
      </w:r>
      <w:r w:rsidR="1D0C974C">
        <w:t xml:space="preserve">engaged </w:t>
      </w:r>
      <w:r w:rsidR="09FFEDA1">
        <w:t>ways that are difficult to replicate through reading and discussion alone.</w:t>
      </w:r>
    </w:p>
    <w:p w14:paraId="79BA2D05" w14:textId="78455123" w:rsidR="0016290E" w:rsidRDefault="0016290E">
      <w:pPr>
        <w:spacing w:after="160"/>
      </w:pPr>
    </w:p>
    <w:p w14:paraId="48CD3CFA" w14:textId="19374A60" w:rsidR="00D020F9" w:rsidRDefault="00F12B88">
      <w:pPr>
        <w:pStyle w:val="Heading1"/>
      </w:pPr>
      <w:r>
        <w:t>Why Exhibit</w:t>
      </w:r>
      <w:r w:rsidR="005E44ED">
        <w:t>ion</w:t>
      </w:r>
      <w:r>
        <w:t>-Based Learning Works</w:t>
      </w:r>
    </w:p>
    <w:p w14:paraId="04A91D90" w14:textId="595B5AB2" w:rsidR="00D020F9" w:rsidRDefault="00F12B88">
      <w:pPr>
        <w:pStyle w:val="Heading2"/>
      </w:pPr>
      <w:r>
        <w:t>Cognitive and Pedagogical Benefits</w:t>
      </w:r>
      <w:r w:rsidR="00DC7F62">
        <w:t xml:space="preserve"> – Exhibition Based Learning:</w:t>
      </w:r>
    </w:p>
    <w:p w14:paraId="66DFCF83" w14:textId="7E3ECFBE" w:rsidR="00D020F9" w:rsidRDefault="00F12B88">
      <w:pPr>
        <w:pStyle w:val="ListParagraph"/>
        <w:numPr>
          <w:ilvl w:val="0"/>
          <w:numId w:val="1"/>
        </w:numPr>
        <w:spacing w:after="80"/>
      </w:pPr>
      <w:r>
        <w:t xml:space="preserve">Sharpens visual literacy and the capacity to read </w:t>
      </w:r>
      <w:r w:rsidR="00035D78">
        <w:t>exhibition content, such as visual culture,</w:t>
      </w:r>
      <w:r w:rsidR="003D43BC">
        <w:t xml:space="preserve"> design strategies,</w:t>
      </w:r>
      <w:r>
        <w:t xml:space="preserve"> </w:t>
      </w:r>
      <w:r w:rsidR="00035D78">
        <w:t xml:space="preserve">artistic </w:t>
      </w:r>
      <w:r>
        <w:t>arguments</w:t>
      </w:r>
      <w:r w:rsidR="00BB122B">
        <w:t>,</w:t>
      </w:r>
      <w:r>
        <w:t xml:space="preserve"> or </w:t>
      </w:r>
      <w:r w:rsidR="00035D78">
        <w:t xml:space="preserve">historical </w:t>
      </w:r>
      <w:r>
        <w:t>evidence</w:t>
      </w:r>
      <w:r w:rsidR="00DC7F62">
        <w:t>.</w:t>
      </w:r>
    </w:p>
    <w:p w14:paraId="3328C941" w14:textId="07E2D008" w:rsidR="00D020F9" w:rsidRDefault="00F12B88">
      <w:pPr>
        <w:pStyle w:val="ListParagraph"/>
        <w:numPr>
          <w:ilvl w:val="0"/>
          <w:numId w:val="1"/>
        </w:numPr>
        <w:spacing w:after="80"/>
      </w:pPr>
      <w:r>
        <w:t xml:space="preserve">Encourages students to explore </w:t>
      </w:r>
      <w:r w:rsidR="00035D78">
        <w:t xml:space="preserve">interpretative </w:t>
      </w:r>
      <w:r>
        <w:t>ambiguity and resist the urge to arrive at premature conclusions</w:t>
      </w:r>
      <w:r w:rsidR="00DC7F62">
        <w:t>.</w:t>
      </w:r>
    </w:p>
    <w:p w14:paraId="3EBD9556" w14:textId="6F5098DC" w:rsidR="00D020F9" w:rsidRDefault="00F12B88">
      <w:pPr>
        <w:pStyle w:val="ListParagraph"/>
        <w:numPr>
          <w:ilvl w:val="0"/>
          <w:numId w:val="1"/>
        </w:numPr>
        <w:spacing w:after="80"/>
      </w:pPr>
      <w:r>
        <w:t>Creates shared intellectual experience: all students</w:t>
      </w:r>
      <w:r w:rsidR="00BB122B">
        <w:t>,</w:t>
      </w:r>
      <w:r>
        <w:t xml:space="preserve"> </w:t>
      </w:r>
      <w:r w:rsidR="00035D78">
        <w:t>regardless of expertise or background</w:t>
      </w:r>
      <w:r w:rsidR="00BB122B">
        <w:t>,</w:t>
      </w:r>
      <w:r w:rsidR="00035D78">
        <w:t xml:space="preserve"> </w:t>
      </w:r>
      <w:proofErr w:type="gramStart"/>
      <w:r w:rsidR="00035D78">
        <w:t>have the opportunity to</w:t>
      </w:r>
      <w:proofErr w:type="gramEnd"/>
      <w:r w:rsidR="00035D78">
        <w:t xml:space="preserve"> collaborate</w:t>
      </w:r>
      <w:r w:rsidR="00DC7F62">
        <w:t>.</w:t>
      </w:r>
    </w:p>
    <w:p w14:paraId="5C66269A" w14:textId="6791F33F" w:rsidR="00D020F9" w:rsidRDefault="00F12B88" w:rsidP="00CE1566">
      <w:pPr>
        <w:pStyle w:val="ListParagraph"/>
        <w:numPr>
          <w:ilvl w:val="0"/>
          <w:numId w:val="1"/>
        </w:numPr>
        <w:spacing w:after="80"/>
      </w:pPr>
      <w:r>
        <w:t>Connects abstract course concepts to concrete</w:t>
      </w:r>
      <w:r w:rsidR="00035D78">
        <w:t xml:space="preserve"> examples </w:t>
      </w:r>
      <w:r w:rsidR="00BB122B">
        <w:t>of contemporary</w:t>
      </w:r>
      <w:r>
        <w:t xml:space="preserve"> artistic expression</w:t>
      </w:r>
      <w:r w:rsidR="00BB122B">
        <w:t>,</w:t>
      </w:r>
      <w:r w:rsidR="00035D78">
        <w:t xml:space="preserve"> shifting beyond traditional text-centered learning styles</w:t>
      </w:r>
      <w:r w:rsidR="00DC7F62">
        <w:t>.</w:t>
      </w:r>
    </w:p>
    <w:p w14:paraId="55E3C958" w14:textId="5A9E71FB" w:rsidR="00D020F9" w:rsidRDefault="00F12B88">
      <w:pPr>
        <w:pStyle w:val="Heading2"/>
      </w:pPr>
      <w:r>
        <w:t>Student Outcomes</w:t>
      </w:r>
      <w:r w:rsidR="000A1F7A">
        <w:t xml:space="preserve"> – Exhibition-Based Learning Enables:</w:t>
      </w:r>
    </w:p>
    <w:p w14:paraId="1EB02849" w14:textId="6AED45A2" w:rsidR="00D020F9" w:rsidRDefault="00F12B88">
      <w:pPr>
        <w:pStyle w:val="ListParagraph"/>
        <w:numPr>
          <w:ilvl w:val="0"/>
          <w:numId w:val="1"/>
        </w:numPr>
        <w:spacing w:after="80"/>
      </w:pPr>
      <w:r>
        <w:t>Stronger written and oral communication through close analysis of visual works</w:t>
      </w:r>
      <w:r w:rsidR="000A1F7A">
        <w:t>.</w:t>
      </w:r>
    </w:p>
    <w:p w14:paraId="670640E6" w14:textId="31E9FE8F" w:rsidR="00D020F9" w:rsidRDefault="00F12B88">
      <w:pPr>
        <w:pStyle w:val="ListParagraph"/>
        <w:numPr>
          <w:ilvl w:val="0"/>
          <w:numId w:val="1"/>
        </w:numPr>
        <w:spacing w:after="80"/>
      </w:pPr>
      <w:r>
        <w:t>Greater comfort with open-ended interpretation and evidence-based argumentation</w:t>
      </w:r>
      <w:r w:rsidR="000A1F7A">
        <w:t>.</w:t>
      </w:r>
    </w:p>
    <w:p w14:paraId="75F4A339" w14:textId="573BD381" w:rsidR="00D020F9" w:rsidRDefault="00F12B88">
      <w:pPr>
        <w:pStyle w:val="ListParagraph"/>
        <w:numPr>
          <w:ilvl w:val="0"/>
          <w:numId w:val="1"/>
        </w:numPr>
        <w:spacing w:after="80"/>
      </w:pPr>
      <w:r>
        <w:t>Heightened awareness of perspective and representation: whose stories are centered, whose are absent</w:t>
      </w:r>
      <w:r w:rsidR="000A1F7A">
        <w:t>.</w:t>
      </w:r>
    </w:p>
    <w:p w14:paraId="4526C295" w14:textId="271FEBEC" w:rsidR="00D020F9" w:rsidRDefault="00F12B88">
      <w:pPr>
        <w:pStyle w:val="ListParagraph"/>
        <w:numPr>
          <w:ilvl w:val="0"/>
          <w:numId w:val="1"/>
        </w:numPr>
        <w:spacing w:after="80"/>
      </w:pPr>
      <w:r>
        <w:t>Deeper engagement with course themes through experiential, discovery-based learning</w:t>
      </w:r>
      <w:r w:rsidR="000A1F7A">
        <w:t>.</w:t>
      </w:r>
    </w:p>
    <w:p w14:paraId="7B03B826" w14:textId="77777777" w:rsidR="00D020F9" w:rsidRDefault="00D020F9"/>
    <w:p w14:paraId="58BC8AD4" w14:textId="77777777" w:rsidR="00D020F9" w:rsidRDefault="00F12B88">
      <w:pPr>
        <w:pStyle w:val="Heading1"/>
      </w:pPr>
      <w:r>
        <w:t>The Widener Gallery as a Pedagogical Resource</w:t>
      </w:r>
    </w:p>
    <w:p w14:paraId="391258F7" w14:textId="76165B95" w:rsidR="005431DB" w:rsidRPr="00CE1566" w:rsidRDefault="06E25944">
      <w:pPr>
        <w:spacing w:after="160"/>
        <w:rPr>
          <w:strike/>
        </w:rPr>
      </w:pPr>
      <w:r>
        <w:t>Widener Gallery</w:t>
      </w:r>
      <w:r w:rsidR="3EFED9C0">
        <w:t xml:space="preserve"> exhibitions and programming</w:t>
      </w:r>
      <w:r>
        <w:t xml:space="preserve"> address </w:t>
      </w:r>
      <w:r w:rsidR="5E03A378">
        <w:t>a broad array of</w:t>
      </w:r>
      <w:r w:rsidR="69AEA369">
        <w:t xml:space="preserve"> </w:t>
      </w:r>
      <w:r w:rsidR="29B223ED">
        <w:t xml:space="preserve">disciplines </w:t>
      </w:r>
      <w:r w:rsidR="47AB1B91">
        <w:t xml:space="preserve">and spark </w:t>
      </w:r>
      <w:bookmarkStart w:id="1" w:name="_Int_uzvxrRJI"/>
      <w:r w:rsidR="47AB1B91">
        <w:t>inquiry</w:t>
      </w:r>
      <w:bookmarkEnd w:id="1"/>
      <w:r>
        <w:t xml:space="preserve">. </w:t>
      </w:r>
      <w:r w:rsidR="69AEA369">
        <w:t>Thus, the courses</w:t>
      </w:r>
      <w:r w:rsidR="0952BED7">
        <w:t xml:space="preserve"> and disciplines</w:t>
      </w:r>
      <w:r w:rsidR="69AEA369">
        <w:t xml:space="preserve"> </w:t>
      </w:r>
      <w:r w:rsidR="23A5D1E5">
        <w:t xml:space="preserve">relevant to each exhibition </w:t>
      </w:r>
      <w:r w:rsidR="69AEA369">
        <w:t>will vary</w:t>
      </w:r>
      <w:r w:rsidR="1AA4AE0C">
        <w:t>.</w:t>
      </w:r>
      <w:r w:rsidR="165AAE55">
        <w:t xml:space="preserve"> </w:t>
      </w:r>
    </w:p>
    <w:p w14:paraId="599AEFDE" w14:textId="77777777" w:rsidR="00D020F9" w:rsidRDefault="00F12B88">
      <w:pPr>
        <w:pStyle w:val="Heading2"/>
      </w:pPr>
      <w:r>
        <w:t>Ways Faculty Can Engage</w:t>
      </w:r>
    </w:p>
    <w:p w14:paraId="27F10977" w14:textId="77777777" w:rsidR="00D020F9" w:rsidRDefault="00F12B88">
      <w:pPr>
        <w:pStyle w:val="ListParagraph"/>
        <w:numPr>
          <w:ilvl w:val="0"/>
          <w:numId w:val="1"/>
        </w:numPr>
        <w:spacing w:after="80"/>
      </w:pPr>
      <w:r>
        <w:rPr>
          <w:b/>
          <w:bCs/>
        </w:rPr>
        <w:t>Gallery visits as assignments:</w:t>
      </w:r>
      <w:r>
        <w:t xml:space="preserve"> Bring your class for a structured visit.</w:t>
      </w:r>
    </w:p>
    <w:p w14:paraId="6504F0B2" w14:textId="225BFAA8" w:rsidR="00D020F9" w:rsidRDefault="00F12B88">
      <w:pPr>
        <w:pStyle w:val="ListParagraph"/>
        <w:numPr>
          <w:ilvl w:val="0"/>
          <w:numId w:val="2"/>
        </w:numPr>
        <w:spacing w:after="100"/>
      </w:pPr>
      <w:r>
        <w:t>Faculty provide guiding questions in advance; students observe specific works or the full exhibition before</w:t>
      </w:r>
      <w:r w:rsidR="00803683">
        <w:t xml:space="preserve"> or during</w:t>
      </w:r>
      <w:r>
        <w:t xml:space="preserve"> class, then bring their observations to a facilitated discussion.</w:t>
      </w:r>
      <w:r w:rsidR="00035D78">
        <w:t xml:space="preserve"> </w:t>
      </w:r>
      <w:r w:rsidR="003D43BC">
        <w:t>Faculty may provide preparatory course material to provide broader context to</w:t>
      </w:r>
      <w:r w:rsidR="00F45599">
        <w:t xml:space="preserve"> a</w:t>
      </w:r>
      <w:r w:rsidR="003D43BC">
        <w:t xml:space="preserve"> particular artist, style, and/or historical period under discussion. </w:t>
      </w:r>
      <w:r w:rsidR="0021285D">
        <w:t xml:space="preserve">Widener Gallery and/or exhibiting artists may </w:t>
      </w:r>
      <w:r w:rsidR="009D16AA">
        <w:t>have recommendations regarding relevant materials.</w:t>
      </w:r>
    </w:p>
    <w:p w14:paraId="0992CE09" w14:textId="77777777" w:rsidR="00D020F9" w:rsidRDefault="06E25944">
      <w:pPr>
        <w:pStyle w:val="ListParagraph"/>
        <w:numPr>
          <w:ilvl w:val="0"/>
          <w:numId w:val="1"/>
        </w:numPr>
        <w:spacing w:after="80"/>
      </w:pPr>
      <w:r w:rsidRPr="47A6E535">
        <w:rPr>
          <w:b/>
          <w:bCs/>
        </w:rPr>
        <w:t>In-class gallery sessions:</w:t>
      </w:r>
      <w:r>
        <w:t xml:space="preserve"> Use the gallery </w:t>
      </w:r>
      <w:bookmarkStart w:id="2" w:name="_Int_H0iMLOjo"/>
      <w:r>
        <w:t>as</w:t>
      </w:r>
      <w:bookmarkEnd w:id="2"/>
      <w:r>
        <w:t xml:space="preserve"> your classroom.</w:t>
      </w:r>
    </w:p>
    <w:p w14:paraId="5FF6DBED" w14:textId="41840B30" w:rsidR="00D020F9" w:rsidRDefault="00F12B88">
      <w:pPr>
        <w:pStyle w:val="ListParagraph"/>
        <w:numPr>
          <w:ilvl w:val="0"/>
          <w:numId w:val="2"/>
        </w:numPr>
        <w:spacing w:after="100"/>
      </w:pPr>
      <w:r>
        <w:t>For one or more class meetings, the gallery itself becomes the classroom. The instructor, the curator</w:t>
      </w:r>
      <w:r w:rsidR="00FD1357">
        <w:t>,</w:t>
      </w:r>
      <w:r w:rsidR="00E53FE5">
        <w:t xml:space="preserve"> </w:t>
      </w:r>
      <w:r w:rsidR="00035D78">
        <w:t>and/</w:t>
      </w:r>
      <w:r w:rsidR="00E53FE5">
        <w:t>or an exhibiting artist</w:t>
      </w:r>
      <w:r>
        <w:t xml:space="preserve"> </w:t>
      </w:r>
      <w:r w:rsidR="00BB122B">
        <w:t>facilitate</w:t>
      </w:r>
      <w:r>
        <w:t xml:space="preserve"> discussion around specific works, making the art the primary text for that session.</w:t>
      </w:r>
      <w:r w:rsidR="003D43BC">
        <w:t xml:space="preserve"> </w:t>
      </w:r>
    </w:p>
    <w:p w14:paraId="1C5FF6D4" w14:textId="5CAC2DB0" w:rsidR="00D020F9" w:rsidRDefault="00F12B88">
      <w:pPr>
        <w:pStyle w:val="ListParagraph"/>
        <w:numPr>
          <w:ilvl w:val="0"/>
          <w:numId w:val="1"/>
        </w:numPr>
        <w:spacing w:after="80"/>
      </w:pPr>
      <w:r>
        <w:rPr>
          <w:b/>
          <w:bCs/>
        </w:rPr>
        <w:t>Object-response writing:</w:t>
      </w:r>
      <w:r>
        <w:t xml:space="preserve"> Assign a short</w:t>
      </w:r>
      <w:r w:rsidR="00FD1357">
        <w:t>,</w:t>
      </w:r>
      <w:r>
        <w:t xml:space="preserve"> written response.</w:t>
      </w:r>
    </w:p>
    <w:p w14:paraId="288CF3CA" w14:textId="5A13BC6D" w:rsidR="00D020F9" w:rsidRDefault="00F12B88">
      <w:pPr>
        <w:pStyle w:val="ListParagraph"/>
        <w:numPr>
          <w:ilvl w:val="0"/>
          <w:numId w:val="2"/>
        </w:numPr>
        <w:spacing w:after="100"/>
      </w:pPr>
      <w:r>
        <w:t>Students write a response to one or more works (</w:t>
      </w:r>
      <w:r w:rsidR="003D43BC">
        <w:t xml:space="preserve">e.g., </w:t>
      </w:r>
      <w:r>
        <w:t>description, interpretation, argument) submitted before or after a gallery visit. These assignments build close reading skills and generate rich material for class discussion.</w:t>
      </w:r>
    </w:p>
    <w:p w14:paraId="42715EE1" w14:textId="4599DE46" w:rsidR="00D020F9" w:rsidRDefault="00F12B88">
      <w:pPr>
        <w:pStyle w:val="ListParagraph"/>
        <w:numPr>
          <w:ilvl w:val="0"/>
          <w:numId w:val="1"/>
        </w:numPr>
        <w:spacing w:after="80"/>
      </w:pPr>
      <w:r>
        <w:rPr>
          <w:b/>
          <w:bCs/>
        </w:rPr>
        <w:t>Exhibition-</w:t>
      </w:r>
      <w:r w:rsidR="003D43BC">
        <w:rPr>
          <w:b/>
          <w:bCs/>
        </w:rPr>
        <w:t>based</w:t>
      </w:r>
      <w:r>
        <w:rPr>
          <w:b/>
          <w:bCs/>
        </w:rPr>
        <w:t xml:space="preserve"> research:</w:t>
      </w:r>
      <w:r>
        <w:t xml:space="preserve"> Ground a larger project in the exhibition.</w:t>
      </w:r>
    </w:p>
    <w:p w14:paraId="1251B70E" w14:textId="4BB64D24" w:rsidR="00D020F9" w:rsidRDefault="00F12B88">
      <w:pPr>
        <w:pStyle w:val="ListParagraph"/>
        <w:numPr>
          <w:ilvl w:val="0"/>
          <w:numId w:val="2"/>
        </w:numPr>
        <w:spacing w:after="100"/>
      </w:pPr>
      <w:r>
        <w:t xml:space="preserve">Students select a work, theme, or artist from the gallery to anchor a research paper, creative project, or presentation. </w:t>
      </w:r>
      <w:r w:rsidR="003D43BC">
        <w:t>Students might</w:t>
      </w:r>
      <w:r w:rsidR="00BB122B">
        <w:t>, for example, work to contextualize the exhibition concepts or themes, or to create a comparative perspective that positions</w:t>
      </w:r>
      <w:r w:rsidR="003D43BC">
        <w:t xml:space="preserve"> different artists in dialogue. </w:t>
      </w:r>
      <w:r>
        <w:t>The gallery visit becomes the beginning of a sustained inquiry, not a one-time event.</w:t>
      </w:r>
    </w:p>
    <w:p w14:paraId="63E85B57" w14:textId="77777777" w:rsidR="00D020F9" w:rsidRDefault="00F12B88">
      <w:pPr>
        <w:pStyle w:val="ListParagraph"/>
        <w:numPr>
          <w:ilvl w:val="0"/>
          <w:numId w:val="1"/>
        </w:numPr>
        <w:spacing w:after="80"/>
      </w:pPr>
      <w:r>
        <w:rPr>
          <w:b/>
          <w:bCs/>
        </w:rPr>
        <w:t>Artist engagement:</w:t>
      </w:r>
      <w:r>
        <w:t xml:space="preserve"> Invite the artist into the conversation.</w:t>
      </w:r>
    </w:p>
    <w:p w14:paraId="64050ED7" w14:textId="2F9D74B1" w:rsidR="00D020F9" w:rsidRDefault="00F12B88">
      <w:pPr>
        <w:pStyle w:val="ListParagraph"/>
        <w:numPr>
          <w:ilvl w:val="0"/>
          <w:numId w:val="2"/>
        </w:numPr>
        <w:spacing w:after="100"/>
      </w:pPr>
      <w:r>
        <w:t xml:space="preserve">In some cases, exhibiting artists are available to speak with a class </w:t>
      </w:r>
      <w:r w:rsidR="00FD25B5">
        <w:t xml:space="preserve">about </w:t>
      </w:r>
      <w:r>
        <w:t>their work. This kind of direct engagement gives students</w:t>
      </w:r>
      <w:r w:rsidR="003D43BC">
        <w:t xml:space="preserve"> unique</w:t>
      </w:r>
      <w:r>
        <w:t xml:space="preserve"> access to the thinking behind what they have observed.</w:t>
      </w:r>
      <w:r w:rsidR="003D43BC">
        <w:t xml:space="preserve"> Students might be asked to prepare preliminary discussion questions ahead of the class meeting after a pre-class orientation to the artist’s background and prior works.</w:t>
      </w:r>
    </w:p>
    <w:p w14:paraId="31174013" w14:textId="77777777" w:rsidR="00D020F9" w:rsidRDefault="00F12B88">
      <w:pPr>
        <w:pStyle w:val="ListParagraph"/>
        <w:numPr>
          <w:ilvl w:val="0"/>
          <w:numId w:val="1"/>
        </w:numPr>
        <w:spacing w:after="80"/>
      </w:pPr>
      <w:r>
        <w:rPr>
          <w:b/>
          <w:bCs/>
        </w:rPr>
        <w:t>Cross-course collaboration:</w:t>
      </w:r>
      <w:r>
        <w:t xml:space="preserve"> Pair two courses around the same exhibition.</w:t>
      </w:r>
    </w:p>
    <w:p w14:paraId="359FC4AD" w14:textId="1F4F8AA1" w:rsidR="00D020F9" w:rsidRDefault="48C33847" w:rsidP="00FD25B5">
      <w:pPr>
        <w:pStyle w:val="ListParagraph"/>
        <w:numPr>
          <w:ilvl w:val="0"/>
          <w:numId w:val="2"/>
        </w:numPr>
        <w:spacing w:after="100"/>
      </w:pPr>
      <w:r>
        <w:t>Multiple</w:t>
      </w:r>
      <w:r w:rsidR="06E25944">
        <w:t xml:space="preserve"> courses from different disciplines </w:t>
      </w:r>
      <w:bookmarkStart w:id="3" w:name="_Int_aBZBaiPl"/>
      <w:r w:rsidR="06E25944">
        <w:t>engage</w:t>
      </w:r>
      <w:bookmarkEnd w:id="3"/>
      <w:r w:rsidR="06E25944">
        <w:t xml:space="preserve"> the same exhibition from their respective frameworks, then convene for a joint </w:t>
      </w:r>
      <w:r>
        <w:t xml:space="preserve">gallery visit, </w:t>
      </w:r>
      <w:r w:rsidR="06E25944">
        <w:t>discussion</w:t>
      </w:r>
      <w:r>
        <w:t>, or artist talk</w:t>
      </w:r>
      <w:r w:rsidR="06E25944">
        <w:t xml:space="preserve">. </w:t>
      </w:r>
    </w:p>
    <w:p w14:paraId="1745AECA" w14:textId="16A967B8" w:rsidR="47A6E535" w:rsidRDefault="47A6E535" w:rsidP="47A6E535"/>
    <w:p w14:paraId="75D5A987" w14:textId="39FAEA11" w:rsidR="00D020F9" w:rsidRDefault="00D020F9">
      <w:pPr>
        <w:pStyle w:val="Heading1"/>
      </w:pPr>
    </w:p>
    <w:p w14:paraId="08334487" w14:textId="0EDD7355" w:rsidR="00D020F9" w:rsidRDefault="0078563F" w:rsidP="47A6E535">
      <w:r>
        <w:br w:type="page"/>
      </w:r>
    </w:p>
    <w:p w14:paraId="4D48F49E" w14:textId="0267F92D" w:rsidR="00D020F9" w:rsidRDefault="18C4FF69">
      <w:pPr>
        <w:pStyle w:val="Heading1"/>
      </w:pPr>
      <w:r>
        <w:lastRenderedPageBreak/>
        <w:t xml:space="preserve">Recent </w:t>
      </w:r>
      <w:r w:rsidR="2E03DCEB">
        <w:t>Gallery</w:t>
      </w:r>
      <w:r>
        <w:t xml:space="preserve"> Exhibitions and </w:t>
      </w:r>
      <w:r w:rsidR="63DD21B7">
        <w:t>Possible</w:t>
      </w:r>
      <w:r w:rsidR="06E25944">
        <w:t xml:space="preserve"> Discipline</w:t>
      </w:r>
      <w:r w:rsidR="7ABB0CE3">
        <w:t xml:space="preserve"> Connectio</w:t>
      </w:r>
      <w:r w:rsidR="4BB0FB10">
        <w:t>ns</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3750"/>
        <w:gridCol w:w="3770"/>
      </w:tblGrid>
      <w:tr w:rsidR="00CE1566" w14:paraId="20D14CA1" w14:textId="77777777" w:rsidTr="47A6E535">
        <w:trPr>
          <w:tblHeader/>
        </w:trPr>
        <w:tc>
          <w:tcPr>
            <w:tcW w:w="2200" w:type="dxa"/>
            <w:shd w:val="clear" w:color="auto" w:fill="2C4770"/>
            <w:tcMar>
              <w:top w:w="80" w:type="dxa"/>
              <w:left w:w="120" w:type="dxa"/>
              <w:bottom w:w="80" w:type="dxa"/>
              <w:right w:w="120" w:type="dxa"/>
            </w:tcMar>
          </w:tcPr>
          <w:p w14:paraId="0B00BFBA" w14:textId="77777777" w:rsidR="00CE1566" w:rsidRDefault="00CE1566" w:rsidP="00FD2DEE">
            <w:r>
              <w:rPr>
                <w:rFonts w:ascii="Arial" w:eastAsia="Arial" w:hAnsi="Arial" w:cs="Arial"/>
                <w:b/>
                <w:bCs/>
                <w:color w:val="FFFFFF"/>
                <w:sz w:val="20"/>
                <w:szCs w:val="20"/>
              </w:rPr>
              <w:t>Exhibition</w:t>
            </w:r>
          </w:p>
        </w:tc>
        <w:tc>
          <w:tcPr>
            <w:tcW w:w="3750" w:type="dxa"/>
            <w:shd w:val="clear" w:color="auto" w:fill="2C4770"/>
            <w:tcMar>
              <w:top w:w="80" w:type="dxa"/>
              <w:left w:w="120" w:type="dxa"/>
              <w:bottom w:w="80" w:type="dxa"/>
              <w:right w:w="120" w:type="dxa"/>
            </w:tcMar>
          </w:tcPr>
          <w:p w14:paraId="36C7FF6A" w14:textId="370A817D" w:rsidR="00CE1566" w:rsidRDefault="00CE1566" w:rsidP="00FD2DEE">
            <w:r>
              <w:rPr>
                <w:rFonts w:ascii="Arial" w:eastAsia="Arial" w:hAnsi="Arial" w:cs="Arial"/>
                <w:b/>
                <w:bCs/>
                <w:color w:val="FFFFFF"/>
                <w:sz w:val="20"/>
                <w:szCs w:val="20"/>
              </w:rPr>
              <w:t>Possible Discipline Connections</w:t>
            </w:r>
          </w:p>
        </w:tc>
        <w:tc>
          <w:tcPr>
            <w:tcW w:w="3770" w:type="dxa"/>
            <w:shd w:val="clear" w:color="auto" w:fill="2C4770"/>
            <w:tcMar>
              <w:top w:w="80" w:type="dxa"/>
              <w:left w:w="120" w:type="dxa"/>
              <w:bottom w:w="80" w:type="dxa"/>
              <w:right w:w="120" w:type="dxa"/>
            </w:tcMar>
          </w:tcPr>
          <w:p w14:paraId="319E4BDE" w14:textId="6460F14F" w:rsidR="00CE1566" w:rsidRDefault="00251EFC" w:rsidP="00FD2DEE">
            <w:r>
              <w:rPr>
                <w:rFonts w:ascii="Arial" w:eastAsia="Arial" w:hAnsi="Arial" w:cs="Arial"/>
                <w:b/>
                <w:bCs/>
                <w:color w:val="FFFFFF"/>
                <w:sz w:val="20"/>
                <w:szCs w:val="20"/>
              </w:rPr>
              <w:t>Exhibition Description</w:t>
            </w:r>
          </w:p>
        </w:tc>
      </w:tr>
      <w:tr w:rsidR="00CE1566" w14:paraId="7AA1A2CC" w14:textId="77777777" w:rsidTr="47A6E535">
        <w:tc>
          <w:tcPr>
            <w:tcW w:w="2200" w:type="dxa"/>
            <w:tcBorders>
              <w:bottom w:val="single" w:sz="1" w:space="0" w:color="CCCCCC"/>
            </w:tcBorders>
            <w:shd w:val="clear" w:color="auto" w:fill="DAE9F7" w:themeFill="text2" w:themeFillTint="1A"/>
            <w:tcMar>
              <w:top w:w="80" w:type="dxa"/>
              <w:left w:w="120" w:type="dxa"/>
              <w:bottom w:w="80" w:type="dxa"/>
              <w:right w:w="120" w:type="dxa"/>
            </w:tcMar>
          </w:tcPr>
          <w:p w14:paraId="1875932F" w14:textId="77777777" w:rsidR="00CE1566" w:rsidRPr="00C76587" w:rsidRDefault="00CE1566" w:rsidP="00FD2DEE">
            <w:pPr>
              <w:rPr>
                <w:i/>
                <w:iCs/>
              </w:rPr>
            </w:pPr>
            <w:r w:rsidRPr="00C76587">
              <w:rPr>
                <w:i/>
                <w:iCs/>
                <w:sz w:val="20"/>
                <w:szCs w:val="20"/>
              </w:rPr>
              <w:t>Reshaping Tradition: Contemporary Explorations in East Asian Art</w:t>
            </w:r>
          </w:p>
        </w:tc>
        <w:tc>
          <w:tcPr>
            <w:tcW w:w="3750" w:type="dxa"/>
            <w:tcBorders>
              <w:bottom w:val="single" w:sz="1" w:space="0" w:color="CCCCCC"/>
            </w:tcBorders>
            <w:shd w:val="clear" w:color="auto" w:fill="DAE9F7" w:themeFill="text2" w:themeFillTint="1A"/>
            <w:tcMar>
              <w:top w:w="80" w:type="dxa"/>
              <w:left w:w="120" w:type="dxa"/>
              <w:bottom w:w="80" w:type="dxa"/>
              <w:right w:w="120" w:type="dxa"/>
            </w:tcMar>
          </w:tcPr>
          <w:p w14:paraId="719C2B9E" w14:textId="2DC6DDC6" w:rsidR="00CE1566" w:rsidRPr="0015329D" w:rsidRDefault="00CE1566" w:rsidP="00FD2DEE">
            <w:r>
              <w:rPr>
                <w:sz w:val="20"/>
                <w:szCs w:val="20"/>
              </w:rPr>
              <w:t>Admissions, Anthropology, Art History,</w:t>
            </w:r>
            <w:r w:rsidRPr="0015329D">
              <w:rPr>
                <w:sz w:val="20"/>
                <w:szCs w:val="20"/>
              </w:rPr>
              <w:t xml:space="preserve"> </w:t>
            </w:r>
            <w:r>
              <w:rPr>
                <w:sz w:val="20"/>
                <w:szCs w:val="20"/>
              </w:rPr>
              <w:t xml:space="preserve">Asian Studies, Environmental Science, Chinese, English, History, Interdisciplinary Studies, International Students and Scholars, </w:t>
            </w:r>
            <w:r w:rsidRPr="0015329D">
              <w:rPr>
                <w:sz w:val="20"/>
                <w:szCs w:val="20"/>
              </w:rPr>
              <w:t>Language &amp; Cultur</w:t>
            </w:r>
            <w:r>
              <w:rPr>
                <w:sz w:val="20"/>
                <w:szCs w:val="20"/>
              </w:rPr>
              <w:t>al</w:t>
            </w:r>
            <w:r w:rsidRPr="0015329D">
              <w:rPr>
                <w:sz w:val="20"/>
                <w:szCs w:val="20"/>
              </w:rPr>
              <w:t xml:space="preserve"> Studies, </w:t>
            </w:r>
            <w:r>
              <w:rPr>
                <w:sz w:val="20"/>
                <w:szCs w:val="20"/>
              </w:rPr>
              <w:t xml:space="preserve">Linguistics, Multicultural Affairs, Music, Philosophy, </w:t>
            </w:r>
            <w:r w:rsidRPr="0015329D">
              <w:rPr>
                <w:sz w:val="20"/>
                <w:szCs w:val="20"/>
              </w:rPr>
              <w:t>Theater &amp; D</w:t>
            </w:r>
            <w:r>
              <w:rPr>
                <w:sz w:val="20"/>
                <w:szCs w:val="20"/>
              </w:rPr>
              <w:t>ance, Urban and Global Studies</w:t>
            </w:r>
          </w:p>
        </w:tc>
        <w:tc>
          <w:tcPr>
            <w:tcW w:w="3770" w:type="dxa"/>
            <w:tcBorders>
              <w:bottom w:val="single" w:sz="1" w:space="0" w:color="CCCCCC"/>
            </w:tcBorders>
            <w:shd w:val="clear" w:color="auto" w:fill="DAE9F7" w:themeFill="text2" w:themeFillTint="1A"/>
            <w:tcMar>
              <w:top w:w="80" w:type="dxa"/>
              <w:left w:w="120" w:type="dxa"/>
              <w:bottom w:w="80" w:type="dxa"/>
              <w:right w:w="120" w:type="dxa"/>
            </w:tcMar>
          </w:tcPr>
          <w:p w14:paraId="0F42396C" w14:textId="60F72870" w:rsidR="00CE1566" w:rsidRPr="00553EC6" w:rsidRDefault="5AE294A9" w:rsidP="47A6E535">
            <w:pPr>
              <w:rPr>
                <w:rFonts w:cs="Arial"/>
                <w:color w:val="363C3A"/>
                <w:sz w:val="20"/>
                <w:szCs w:val="20"/>
              </w:rPr>
            </w:pPr>
            <w:r w:rsidRPr="47A6E535">
              <w:rPr>
                <w:rStyle w:val="Emphasis"/>
                <w:i w:val="0"/>
                <w:iCs w:val="0"/>
                <w:sz w:val="20"/>
                <w:szCs w:val="20"/>
              </w:rPr>
              <w:t>F</w:t>
            </w:r>
            <w:r w:rsidR="2762EAF3" w:rsidRPr="47A6E535">
              <w:rPr>
                <w:rFonts w:cs="Arial"/>
                <w:color w:val="363C3A"/>
                <w:sz w:val="20"/>
                <w:szCs w:val="20"/>
              </w:rPr>
              <w:t>ive artists</w:t>
            </w:r>
            <w:r w:rsidR="6A073E0D" w:rsidRPr="47A6E535">
              <w:rPr>
                <w:rFonts w:cs="Arial"/>
                <w:color w:val="363C3A"/>
                <w:sz w:val="20"/>
                <w:szCs w:val="20"/>
              </w:rPr>
              <w:t xml:space="preserve"> </w:t>
            </w:r>
            <w:r w:rsidR="2762EAF3" w:rsidRPr="47A6E535">
              <w:rPr>
                <w:rFonts w:cs="Arial"/>
                <w:color w:val="363C3A"/>
                <w:sz w:val="20"/>
                <w:szCs w:val="20"/>
              </w:rPr>
              <w:t>explore diaspora by reimagining traditional East Asian art</w:t>
            </w:r>
            <w:r w:rsidR="5C87E1B8" w:rsidRPr="47A6E535">
              <w:rPr>
                <w:rFonts w:cs="Arial"/>
                <w:color w:val="363C3A"/>
                <w:sz w:val="20"/>
                <w:szCs w:val="20"/>
              </w:rPr>
              <w:t xml:space="preserve"> through global and modern perspectives.</w:t>
            </w:r>
            <w:r w:rsidR="06A47701" w:rsidRPr="47A6E535">
              <w:rPr>
                <w:rFonts w:cs="Arial"/>
                <w:color w:val="363C3A"/>
                <w:sz w:val="20"/>
                <w:szCs w:val="20"/>
              </w:rPr>
              <w:t xml:space="preserve"> </w:t>
            </w:r>
            <w:r w:rsidR="5C87E1B8" w:rsidRPr="47A6E535">
              <w:rPr>
                <w:rFonts w:cs="Arial"/>
                <w:color w:val="363C3A"/>
                <w:sz w:val="20"/>
                <w:szCs w:val="20"/>
              </w:rPr>
              <w:t>Via</w:t>
            </w:r>
            <w:r w:rsidR="06A47701" w:rsidRPr="47A6E535">
              <w:rPr>
                <w:rFonts w:cs="Arial"/>
                <w:color w:val="363C3A"/>
                <w:sz w:val="20"/>
                <w:szCs w:val="20"/>
              </w:rPr>
              <w:t xml:space="preserve"> contemporary mediums and approaches, the</w:t>
            </w:r>
            <w:r w:rsidRPr="47A6E535">
              <w:rPr>
                <w:rFonts w:cs="Arial"/>
                <w:color w:val="363C3A"/>
                <w:sz w:val="20"/>
                <w:szCs w:val="20"/>
              </w:rPr>
              <w:t xml:space="preserve">y </w:t>
            </w:r>
            <w:r w:rsidR="06A47701" w:rsidRPr="47A6E535">
              <w:rPr>
                <w:rFonts w:cs="Arial"/>
                <w:color w:val="363C3A"/>
                <w:sz w:val="20"/>
                <w:szCs w:val="20"/>
              </w:rPr>
              <w:t>acknowledge tradition while addressing themes of language, culture, and identity.</w:t>
            </w:r>
          </w:p>
        </w:tc>
      </w:tr>
      <w:tr w:rsidR="00CE1566" w14:paraId="45D01EDF" w14:textId="77777777" w:rsidTr="47A6E535">
        <w:tc>
          <w:tcPr>
            <w:tcW w:w="2200" w:type="dxa"/>
            <w:tcBorders>
              <w:bottom w:val="single" w:sz="1" w:space="0" w:color="CCCCCC"/>
            </w:tcBorders>
            <w:shd w:val="clear" w:color="auto" w:fill="FFFFFF" w:themeFill="background1"/>
            <w:tcMar>
              <w:top w:w="80" w:type="dxa"/>
              <w:left w:w="120" w:type="dxa"/>
              <w:bottom w:w="80" w:type="dxa"/>
              <w:right w:w="120" w:type="dxa"/>
            </w:tcMar>
          </w:tcPr>
          <w:p w14:paraId="25EF5FA7" w14:textId="77777777" w:rsidR="00CE1566" w:rsidRPr="00C76587" w:rsidRDefault="00CE1566" w:rsidP="00CE1566">
            <w:pPr>
              <w:rPr>
                <w:i/>
                <w:iCs/>
                <w:sz w:val="20"/>
                <w:szCs w:val="20"/>
              </w:rPr>
            </w:pPr>
            <w:r w:rsidRPr="00C76587">
              <w:rPr>
                <w:i/>
                <w:iCs/>
                <w:sz w:val="20"/>
                <w:szCs w:val="20"/>
              </w:rPr>
              <w:t>Are You Also Divergent, Friend?</w:t>
            </w:r>
          </w:p>
          <w:p w14:paraId="6B3540BD" w14:textId="77777777" w:rsidR="00CE1566" w:rsidRDefault="00CE1566" w:rsidP="00CE1566">
            <w:r w:rsidRPr="00C76587">
              <w:rPr>
                <w:i/>
                <w:iCs/>
                <w:sz w:val="20"/>
                <w:szCs w:val="20"/>
              </w:rPr>
              <w:t>An Exhibition by Dennis Delgado</w:t>
            </w:r>
          </w:p>
        </w:tc>
        <w:tc>
          <w:tcPr>
            <w:tcW w:w="3750" w:type="dxa"/>
            <w:tcBorders>
              <w:bottom w:val="single" w:sz="1" w:space="0" w:color="CCCCCC"/>
            </w:tcBorders>
            <w:shd w:val="clear" w:color="auto" w:fill="FFFFFF" w:themeFill="background1"/>
            <w:tcMar>
              <w:top w:w="80" w:type="dxa"/>
              <w:left w:w="120" w:type="dxa"/>
              <w:bottom w:w="80" w:type="dxa"/>
              <w:right w:w="120" w:type="dxa"/>
            </w:tcMar>
          </w:tcPr>
          <w:p w14:paraId="75017FE7" w14:textId="3FC29AA1" w:rsidR="00CE1566" w:rsidRDefault="00CE1566" w:rsidP="00CE1566">
            <w:r>
              <w:rPr>
                <w:sz w:val="20"/>
                <w:szCs w:val="20"/>
              </w:rPr>
              <w:t>American Studies, Anthropology, Art History, Athletics, Center for Urban and Global Studies, Computer Science, Data Science, English, Film Studies, Formal Organizations, History, Human Rights, Information Technology, Interdisciplinary Studies, Mathematics, Music, Philosophy, Political Science, Public Policy and Law, Psychology, Social Justice, Sociology, Theater and Dance, Urban Studies</w:t>
            </w:r>
          </w:p>
        </w:tc>
        <w:tc>
          <w:tcPr>
            <w:tcW w:w="3770" w:type="dxa"/>
            <w:tcBorders>
              <w:bottom w:val="single" w:sz="1" w:space="0" w:color="CCCCCC"/>
            </w:tcBorders>
            <w:shd w:val="clear" w:color="auto" w:fill="FFFFFF" w:themeFill="background1"/>
            <w:tcMar>
              <w:top w:w="80" w:type="dxa"/>
              <w:left w:w="120" w:type="dxa"/>
              <w:bottom w:w="80" w:type="dxa"/>
              <w:right w:w="120" w:type="dxa"/>
            </w:tcMar>
          </w:tcPr>
          <w:p w14:paraId="5594BAD3" w14:textId="506598ED" w:rsidR="00CE1566" w:rsidRPr="005A1D20" w:rsidRDefault="000A64B9" w:rsidP="00CE1566">
            <w:pPr>
              <w:rPr>
                <w:sz w:val="20"/>
                <w:szCs w:val="20"/>
              </w:rPr>
            </w:pPr>
            <w:r w:rsidRPr="000A64B9">
              <w:rPr>
                <w:rStyle w:val="Emphasis"/>
                <w:i w:val="0"/>
                <w:iCs w:val="0"/>
                <w:sz w:val="20"/>
                <w:szCs w:val="20"/>
              </w:rPr>
              <w:t>The exhibition a</w:t>
            </w:r>
            <w:r w:rsidR="005D5C3A" w:rsidRPr="000A64B9">
              <w:rPr>
                <w:rFonts w:cs="Arial"/>
                <w:color w:val="363C3A"/>
                <w:sz w:val="20"/>
                <w:szCs w:val="20"/>
                <w:shd w:val="clear" w:color="auto" w:fill="FFFFFF"/>
              </w:rPr>
              <w:t>ddresses the experience of being a person</w:t>
            </w:r>
            <w:r w:rsidR="005D5C3A" w:rsidRPr="005A1D20">
              <w:rPr>
                <w:rFonts w:cs="Arial"/>
                <w:color w:val="363C3A"/>
                <w:sz w:val="20"/>
                <w:szCs w:val="20"/>
                <w:shd w:val="clear" w:color="auto" w:fill="FFFFFF"/>
              </w:rPr>
              <w:t xml:space="preserve"> of color in a new age of automated and algorithmic surveillance.</w:t>
            </w:r>
            <w:r w:rsidR="00045AD8">
              <w:rPr>
                <w:rFonts w:cs="Arial"/>
                <w:color w:val="363C3A"/>
                <w:sz w:val="20"/>
                <w:szCs w:val="20"/>
                <w:shd w:val="clear" w:color="auto" w:fill="FFFFFF"/>
              </w:rPr>
              <w:t xml:space="preserve"> Four projects </w:t>
            </w:r>
            <w:r w:rsidR="00BE2609" w:rsidRPr="00045AD8">
              <w:rPr>
                <w:rFonts w:cs="Arial"/>
                <w:color w:val="363C3A"/>
                <w:sz w:val="20"/>
                <w:szCs w:val="20"/>
                <w:shd w:val="clear" w:color="auto" w:fill="FFFFFF"/>
              </w:rPr>
              <w:t>explore how technologies of vision shape the discursive formation of the “Other,” and how the colonialist gaze was coded into the surveillance tools of today, revealing a historical presence in the current moment.</w:t>
            </w:r>
          </w:p>
        </w:tc>
      </w:tr>
      <w:tr w:rsidR="00CE1566" w14:paraId="3D0A65EF" w14:textId="77777777" w:rsidTr="47A6E535">
        <w:tc>
          <w:tcPr>
            <w:tcW w:w="2200" w:type="dxa"/>
            <w:tcBorders>
              <w:bottom w:val="single" w:sz="1" w:space="0" w:color="CCCCCC"/>
            </w:tcBorders>
            <w:shd w:val="clear" w:color="auto" w:fill="DAE9F7" w:themeFill="text2" w:themeFillTint="1A"/>
            <w:tcMar>
              <w:top w:w="80" w:type="dxa"/>
              <w:left w:w="120" w:type="dxa"/>
              <w:bottom w:w="80" w:type="dxa"/>
              <w:right w:w="120" w:type="dxa"/>
            </w:tcMar>
          </w:tcPr>
          <w:p w14:paraId="5C3D3244" w14:textId="77777777" w:rsidR="00CE1566" w:rsidRPr="00FB34C1" w:rsidRDefault="00CE1566" w:rsidP="00CE1566">
            <w:pPr>
              <w:rPr>
                <w:i/>
                <w:iCs/>
                <w:sz w:val="20"/>
                <w:szCs w:val="20"/>
              </w:rPr>
            </w:pPr>
            <w:r w:rsidRPr="00FB34C1">
              <w:rPr>
                <w:i/>
                <w:iCs/>
                <w:sz w:val="20"/>
                <w:szCs w:val="20"/>
              </w:rPr>
              <w:t>Echoes and Collisions: The Art of Frantz Patrick Henry in Conversation with Selections from the Edith A. Graham Collection of Haitian Art</w:t>
            </w:r>
          </w:p>
        </w:tc>
        <w:tc>
          <w:tcPr>
            <w:tcW w:w="3750" w:type="dxa"/>
            <w:tcBorders>
              <w:bottom w:val="single" w:sz="1" w:space="0" w:color="CCCCCC"/>
            </w:tcBorders>
            <w:shd w:val="clear" w:color="auto" w:fill="DAE9F7" w:themeFill="text2" w:themeFillTint="1A"/>
            <w:tcMar>
              <w:top w:w="80" w:type="dxa"/>
              <w:left w:w="120" w:type="dxa"/>
              <w:bottom w:w="80" w:type="dxa"/>
              <w:right w:w="120" w:type="dxa"/>
            </w:tcMar>
          </w:tcPr>
          <w:p w14:paraId="32BE5211" w14:textId="5E562C64" w:rsidR="00CE1566" w:rsidRPr="00FB34C1" w:rsidRDefault="00CE1566" w:rsidP="00CE1566">
            <w:pPr>
              <w:rPr>
                <w:sz w:val="20"/>
                <w:szCs w:val="20"/>
              </w:rPr>
            </w:pPr>
            <w:r>
              <w:rPr>
                <w:sz w:val="20"/>
                <w:szCs w:val="20"/>
              </w:rPr>
              <w:t xml:space="preserve">Architecture, </w:t>
            </w:r>
            <w:r w:rsidRPr="00FB34C1">
              <w:rPr>
                <w:sz w:val="20"/>
                <w:szCs w:val="20"/>
              </w:rPr>
              <w:t xml:space="preserve">Anthropology, </w:t>
            </w:r>
            <w:r>
              <w:rPr>
                <w:sz w:val="20"/>
                <w:szCs w:val="20"/>
              </w:rPr>
              <w:t xml:space="preserve">Art History, Caribbean Studies, Center for Urban and Global Studies, English, French/Francophone Studies, </w:t>
            </w:r>
            <w:r w:rsidRPr="00FB34C1">
              <w:rPr>
                <w:sz w:val="20"/>
                <w:szCs w:val="20"/>
              </w:rPr>
              <w:t xml:space="preserve">History, </w:t>
            </w:r>
            <w:r>
              <w:rPr>
                <w:sz w:val="20"/>
                <w:szCs w:val="20"/>
              </w:rPr>
              <w:t xml:space="preserve">Human Rights, Interdisciplinary Studies, International Students and Scholars, </w:t>
            </w:r>
            <w:r w:rsidRPr="00FB34C1">
              <w:rPr>
                <w:sz w:val="20"/>
                <w:szCs w:val="20"/>
              </w:rPr>
              <w:t>International Studies, Language and Cultur</w:t>
            </w:r>
            <w:r>
              <w:rPr>
                <w:sz w:val="20"/>
                <w:szCs w:val="20"/>
              </w:rPr>
              <w:t>al</w:t>
            </w:r>
            <w:r w:rsidRPr="00FB34C1">
              <w:rPr>
                <w:sz w:val="20"/>
                <w:szCs w:val="20"/>
              </w:rPr>
              <w:t xml:space="preserve"> Studies, </w:t>
            </w:r>
            <w:r>
              <w:rPr>
                <w:sz w:val="20"/>
                <w:szCs w:val="20"/>
              </w:rPr>
              <w:t xml:space="preserve">Leonard E. Greenberg Center for the Study of Religion in Public Life, Multicultural Affairs, Philosophy, Political Science, </w:t>
            </w:r>
            <w:r w:rsidRPr="00FB34C1">
              <w:rPr>
                <w:sz w:val="20"/>
                <w:szCs w:val="20"/>
              </w:rPr>
              <w:t>Religious Studies</w:t>
            </w:r>
            <w:r>
              <w:rPr>
                <w:sz w:val="20"/>
                <w:szCs w:val="20"/>
              </w:rPr>
              <w:t>, Social Justice, Sociology, Theater and Dance, Urban Studies, World Literature</w:t>
            </w:r>
          </w:p>
        </w:tc>
        <w:tc>
          <w:tcPr>
            <w:tcW w:w="3770" w:type="dxa"/>
            <w:tcBorders>
              <w:bottom w:val="single" w:sz="1" w:space="0" w:color="CCCCCC"/>
            </w:tcBorders>
            <w:shd w:val="clear" w:color="auto" w:fill="DAE9F7" w:themeFill="text2" w:themeFillTint="1A"/>
            <w:tcMar>
              <w:top w:w="80" w:type="dxa"/>
              <w:left w:w="120" w:type="dxa"/>
              <w:bottom w:w="80" w:type="dxa"/>
              <w:right w:w="120" w:type="dxa"/>
            </w:tcMar>
          </w:tcPr>
          <w:p w14:paraId="4A5F1737" w14:textId="2FBEAB74" w:rsidR="00CE1566" w:rsidRPr="002C7BE6" w:rsidRDefault="008E5CEB" w:rsidP="00CE1566">
            <w:pPr>
              <w:rPr>
                <w:sz w:val="20"/>
                <w:szCs w:val="20"/>
              </w:rPr>
            </w:pPr>
            <w:r>
              <w:rPr>
                <w:rFonts w:cs="Arial"/>
                <w:color w:val="363C3A"/>
                <w:sz w:val="20"/>
                <w:szCs w:val="20"/>
              </w:rPr>
              <w:t xml:space="preserve">The </w:t>
            </w:r>
            <w:r w:rsidR="17646935" w:rsidRPr="082E0BD1">
              <w:rPr>
                <w:rFonts w:cs="Arial"/>
                <w:color w:val="363C3A"/>
                <w:sz w:val="20"/>
                <w:szCs w:val="20"/>
              </w:rPr>
              <w:t>e</w:t>
            </w:r>
            <w:r w:rsidR="43038F7C" w:rsidRPr="082E0BD1">
              <w:rPr>
                <w:rFonts w:cs="Arial"/>
                <w:color w:val="363C3A"/>
                <w:sz w:val="20"/>
                <w:szCs w:val="20"/>
              </w:rPr>
              <w:t xml:space="preserve">xhibition </w:t>
            </w:r>
            <w:r w:rsidR="11B58DAC" w:rsidRPr="082E0BD1">
              <w:rPr>
                <w:rFonts w:cs="Arial"/>
                <w:color w:val="363C3A"/>
                <w:sz w:val="20"/>
                <w:szCs w:val="20"/>
              </w:rPr>
              <w:t>features installation art by F. Patrick Henry in conversation with selections from the Edith A. Graham Collection of Haitian Art. </w:t>
            </w:r>
            <w:r w:rsidR="11B58DAC" w:rsidRPr="082E0BD1">
              <w:rPr>
                <w:rStyle w:val="Emphasis"/>
                <w:rFonts w:cs="Arial"/>
                <w:color w:val="363C3A"/>
                <w:sz w:val="20"/>
                <w:szCs w:val="20"/>
              </w:rPr>
              <w:t> </w:t>
            </w:r>
            <w:r w:rsidR="11B58DAC" w:rsidRPr="082E0BD1">
              <w:rPr>
                <w:rFonts w:cs="Arial"/>
                <w:color w:val="363C3A"/>
                <w:sz w:val="20"/>
                <w:szCs w:val="20"/>
              </w:rPr>
              <w:t xml:space="preserve">The resulting dialogue oscillates between harmony and dissonance, connection and collision, inviting viewers into a speculative space where the boundaries of time dissolve, and art becomes a bridge between histories and imagined futures. </w:t>
            </w:r>
          </w:p>
        </w:tc>
      </w:tr>
      <w:tr w:rsidR="00CE1566" w14:paraId="293DD6AD" w14:textId="77777777" w:rsidTr="47A6E535">
        <w:tc>
          <w:tcPr>
            <w:tcW w:w="2200" w:type="dxa"/>
            <w:tcBorders>
              <w:bottom w:val="single" w:sz="1" w:space="0" w:color="CCCCCC"/>
            </w:tcBorders>
            <w:shd w:val="clear" w:color="auto" w:fill="FFFFFF" w:themeFill="background1"/>
            <w:tcMar>
              <w:top w:w="80" w:type="dxa"/>
              <w:left w:w="120" w:type="dxa"/>
              <w:bottom w:w="80" w:type="dxa"/>
              <w:right w:w="120" w:type="dxa"/>
            </w:tcMar>
          </w:tcPr>
          <w:p w14:paraId="52F54A34" w14:textId="77777777" w:rsidR="00CE1566" w:rsidRPr="00816186" w:rsidRDefault="00CE1566" w:rsidP="00CE1566">
            <w:pPr>
              <w:rPr>
                <w:i/>
                <w:iCs/>
              </w:rPr>
            </w:pPr>
            <w:r w:rsidRPr="00816186">
              <w:rPr>
                <w:i/>
                <w:iCs/>
                <w:sz w:val="20"/>
                <w:szCs w:val="20"/>
              </w:rPr>
              <w:t>Devotion: Photographs from the Collection of the Watkinson Library at Trinity College</w:t>
            </w:r>
          </w:p>
        </w:tc>
        <w:tc>
          <w:tcPr>
            <w:tcW w:w="3750" w:type="dxa"/>
            <w:tcBorders>
              <w:bottom w:val="single" w:sz="1" w:space="0" w:color="CCCCCC"/>
            </w:tcBorders>
            <w:shd w:val="clear" w:color="auto" w:fill="FFFFFF" w:themeFill="background1"/>
            <w:tcMar>
              <w:top w:w="80" w:type="dxa"/>
              <w:left w:w="120" w:type="dxa"/>
              <w:bottom w:w="80" w:type="dxa"/>
              <w:right w:w="120" w:type="dxa"/>
            </w:tcMar>
          </w:tcPr>
          <w:p w14:paraId="272C9890" w14:textId="375F4924" w:rsidR="00CE1566" w:rsidRDefault="00CE1566" w:rsidP="00CE1566">
            <w:r>
              <w:rPr>
                <w:sz w:val="20"/>
                <w:szCs w:val="20"/>
              </w:rPr>
              <w:t>American Studies, Anthropology, Art History, Creative Writing, Community Service and Civic Engagement, English, Film Studies, History, Interdisciplinary Studies, Neuroscience, Philosophy, Psychology, Sociology, Theater and Dance, Urban Studies, Women, Gender &amp; Sexuality</w:t>
            </w:r>
          </w:p>
        </w:tc>
        <w:tc>
          <w:tcPr>
            <w:tcW w:w="3770" w:type="dxa"/>
            <w:tcBorders>
              <w:bottom w:val="single" w:sz="1" w:space="0" w:color="CCCCCC"/>
            </w:tcBorders>
            <w:shd w:val="clear" w:color="auto" w:fill="FFFFFF" w:themeFill="background1"/>
            <w:tcMar>
              <w:top w:w="80" w:type="dxa"/>
              <w:left w:w="120" w:type="dxa"/>
              <w:bottom w:w="80" w:type="dxa"/>
              <w:right w:w="120" w:type="dxa"/>
            </w:tcMar>
          </w:tcPr>
          <w:p w14:paraId="492D5DC7" w14:textId="57556305" w:rsidR="00CE1566" w:rsidRPr="003B745C" w:rsidRDefault="29206A3A" w:rsidP="00CE1566">
            <w:r w:rsidRPr="47A6E535">
              <w:rPr>
                <w:rStyle w:val="Emphasis"/>
                <w:i w:val="0"/>
                <w:iCs w:val="0"/>
                <w:sz w:val="20"/>
                <w:szCs w:val="20"/>
              </w:rPr>
              <w:t>The exhibition explores</w:t>
            </w:r>
            <w:r w:rsidR="545B1BBC" w:rsidRPr="00F954B5">
              <w:rPr>
                <w:rFonts w:cs="Arial"/>
                <w:color w:val="363C3A"/>
                <w:sz w:val="20"/>
                <w:szCs w:val="20"/>
                <w:shd w:val="clear" w:color="auto" w:fill="FFFFFF"/>
              </w:rPr>
              <w:t xml:space="preserve"> the</w:t>
            </w:r>
            <w:r w:rsidR="545B1BBC" w:rsidRPr="003B745C">
              <w:rPr>
                <w:rFonts w:cs="Arial"/>
                <w:color w:val="363C3A"/>
                <w:sz w:val="20"/>
                <w:szCs w:val="20"/>
                <w:shd w:val="clear" w:color="auto" w:fill="FFFFFF"/>
              </w:rPr>
              <w:t xml:space="preserve"> connections that shape our lives, highlighting themes of love, family, friendship, kinship, and care as we evolve from childhood to adulthood.</w:t>
            </w:r>
            <w:r w:rsidR="545B1BBC" w:rsidRPr="7B94A7FC">
              <w:rPr>
                <w:rFonts w:cs="Arial"/>
                <w:color w:val="363C3A"/>
                <w:sz w:val="20"/>
                <w:szCs w:val="20"/>
              </w:rPr>
              <w:t xml:space="preserve"> </w:t>
            </w:r>
            <w:r w:rsidR="0BD129EE">
              <w:rPr>
                <w:rFonts w:cs="Arial"/>
                <w:color w:val="363C3A"/>
                <w:sz w:val="20"/>
                <w:szCs w:val="20"/>
              </w:rPr>
              <w:t>P</w:t>
            </w:r>
            <w:r w:rsidR="545B1BBC" w:rsidRPr="7B94A7FC">
              <w:rPr>
                <w:rFonts w:cs="Arial"/>
                <w:color w:val="363C3A"/>
                <w:sz w:val="20"/>
                <w:szCs w:val="20"/>
              </w:rPr>
              <w:t>hotographs</w:t>
            </w:r>
            <w:r w:rsidR="3FC4693A">
              <w:rPr>
                <w:rFonts w:cs="Arial"/>
                <w:color w:val="363C3A"/>
                <w:sz w:val="20"/>
                <w:szCs w:val="20"/>
              </w:rPr>
              <w:t xml:space="preserve"> by</w:t>
            </w:r>
            <w:r w:rsidR="46026207">
              <w:rPr>
                <w:rFonts w:cs="Arial"/>
                <w:color w:val="363C3A"/>
                <w:sz w:val="20"/>
                <w:szCs w:val="20"/>
              </w:rPr>
              <w:t xml:space="preserve"> </w:t>
            </w:r>
            <w:r w:rsidR="03BF732E">
              <w:rPr>
                <w:rFonts w:cs="Arial"/>
                <w:color w:val="363C3A"/>
                <w:sz w:val="20"/>
                <w:szCs w:val="20"/>
              </w:rPr>
              <w:t>elev</w:t>
            </w:r>
            <w:r w:rsidR="2ED929E4">
              <w:rPr>
                <w:rFonts w:cs="Arial"/>
                <w:color w:val="363C3A"/>
                <w:sz w:val="20"/>
                <w:szCs w:val="20"/>
              </w:rPr>
              <w:t>en ar</w:t>
            </w:r>
            <w:r w:rsidR="36F60CEC">
              <w:rPr>
                <w:rFonts w:cs="Arial"/>
                <w:color w:val="363C3A"/>
                <w:sz w:val="20"/>
                <w:szCs w:val="20"/>
              </w:rPr>
              <w:t>tists</w:t>
            </w:r>
            <w:r w:rsidR="545B1BBC" w:rsidRPr="7B94A7FC">
              <w:rPr>
                <w:rFonts w:cs="Arial"/>
                <w:color w:val="363C3A"/>
                <w:sz w:val="20"/>
                <w:szCs w:val="20"/>
              </w:rPr>
              <w:t>, taken between 1925 and 1981, embody the essence of human connectedness, exploring love, family, friendship, kinship, and care from childhood through adulthood.</w:t>
            </w:r>
          </w:p>
          <w:p w14:paraId="577C349A" w14:textId="77777777" w:rsidR="00D945A4" w:rsidRDefault="00D945A4" w:rsidP="00CE1566">
            <w:pPr>
              <w:rPr>
                <w:rFonts w:cs="Arial"/>
                <w:color w:val="363C3A"/>
                <w:sz w:val="20"/>
                <w:szCs w:val="20"/>
              </w:rPr>
            </w:pPr>
          </w:p>
          <w:p w14:paraId="7A7D0721" w14:textId="77777777" w:rsidR="00D945A4" w:rsidRDefault="00D945A4" w:rsidP="00CE1566">
            <w:pPr>
              <w:rPr>
                <w:rFonts w:cs="Arial"/>
                <w:color w:val="363C3A"/>
                <w:sz w:val="20"/>
                <w:szCs w:val="20"/>
              </w:rPr>
            </w:pPr>
          </w:p>
          <w:p w14:paraId="7058807B" w14:textId="52FACC50" w:rsidR="00CE1566" w:rsidRPr="003B745C" w:rsidRDefault="00CE1566" w:rsidP="47A6E535">
            <w:pPr>
              <w:rPr>
                <w:rFonts w:cs="Arial"/>
                <w:color w:val="363C3A"/>
                <w:sz w:val="20"/>
                <w:szCs w:val="20"/>
              </w:rPr>
            </w:pPr>
          </w:p>
          <w:p w14:paraId="4D6B4DE3" w14:textId="211A6CB8" w:rsidR="00CE1566" w:rsidRPr="003B745C" w:rsidRDefault="00CE1566" w:rsidP="47A6E535">
            <w:pPr>
              <w:rPr>
                <w:rFonts w:cs="Arial"/>
                <w:color w:val="363C3A"/>
                <w:sz w:val="20"/>
                <w:szCs w:val="20"/>
              </w:rPr>
            </w:pPr>
          </w:p>
          <w:p w14:paraId="697AC5B7" w14:textId="0E798C6D" w:rsidR="00CE1566" w:rsidRPr="003B745C" w:rsidRDefault="00CE1566" w:rsidP="47A6E535">
            <w:pPr>
              <w:rPr>
                <w:rFonts w:cs="Arial"/>
                <w:color w:val="363C3A"/>
                <w:sz w:val="20"/>
                <w:szCs w:val="20"/>
              </w:rPr>
            </w:pPr>
          </w:p>
          <w:p w14:paraId="74E5A6D3" w14:textId="16DADB79" w:rsidR="00CE1566" w:rsidRPr="003B745C" w:rsidRDefault="00CE1566" w:rsidP="47A6E535">
            <w:pPr>
              <w:rPr>
                <w:rFonts w:cs="Arial"/>
                <w:color w:val="363C3A"/>
                <w:sz w:val="20"/>
                <w:szCs w:val="20"/>
              </w:rPr>
            </w:pPr>
          </w:p>
        </w:tc>
      </w:tr>
      <w:tr w:rsidR="00CE1566" w14:paraId="2062158C" w14:textId="77777777" w:rsidTr="47A6E535">
        <w:tc>
          <w:tcPr>
            <w:tcW w:w="2200" w:type="dxa"/>
            <w:tcBorders>
              <w:bottom w:val="single" w:sz="1" w:space="0" w:color="CCCCCC"/>
            </w:tcBorders>
            <w:shd w:val="clear" w:color="auto" w:fill="DAE9F7" w:themeFill="text2" w:themeFillTint="1A"/>
            <w:tcMar>
              <w:top w:w="80" w:type="dxa"/>
              <w:left w:w="120" w:type="dxa"/>
              <w:bottom w:w="80" w:type="dxa"/>
              <w:right w:w="120" w:type="dxa"/>
            </w:tcMar>
          </w:tcPr>
          <w:p w14:paraId="44618596" w14:textId="77777777" w:rsidR="00CE1566" w:rsidRPr="00611316" w:rsidRDefault="00CE1566" w:rsidP="00CE1566">
            <w:pPr>
              <w:rPr>
                <w:i/>
                <w:iCs/>
              </w:rPr>
            </w:pPr>
            <w:r w:rsidRPr="00611316">
              <w:rPr>
                <w:i/>
                <w:iCs/>
                <w:sz w:val="20"/>
                <w:szCs w:val="20"/>
              </w:rPr>
              <w:lastRenderedPageBreak/>
              <w:t>Detritus</w:t>
            </w:r>
          </w:p>
        </w:tc>
        <w:tc>
          <w:tcPr>
            <w:tcW w:w="3750" w:type="dxa"/>
            <w:tcBorders>
              <w:bottom w:val="single" w:sz="1" w:space="0" w:color="CCCCCC"/>
            </w:tcBorders>
            <w:shd w:val="clear" w:color="auto" w:fill="DAE9F7" w:themeFill="text2" w:themeFillTint="1A"/>
            <w:tcMar>
              <w:top w:w="80" w:type="dxa"/>
              <w:left w:w="120" w:type="dxa"/>
              <w:bottom w:w="80" w:type="dxa"/>
              <w:right w:w="120" w:type="dxa"/>
            </w:tcMar>
          </w:tcPr>
          <w:p w14:paraId="6C4EA40E" w14:textId="629B37E5" w:rsidR="00CE1566" w:rsidRDefault="00CE1566" w:rsidP="00CE1566">
            <w:r>
              <w:rPr>
                <w:sz w:val="20"/>
                <w:szCs w:val="20"/>
              </w:rPr>
              <w:t>American Studies, Anthropology, Art History, Community Service and Civic Engagement, Economics, English, Environmental Science, History, Interdisciplinary Studies, Mathematics, Philosophy, Sociology, Sustainability, Theater and Dance, Urban Studies, Women, Gender &amp; Sexuality</w:t>
            </w:r>
          </w:p>
        </w:tc>
        <w:tc>
          <w:tcPr>
            <w:tcW w:w="3770" w:type="dxa"/>
            <w:tcBorders>
              <w:bottom w:val="single" w:sz="1" w:space="0" w:color="CCCCCC"/>
            </w:tcBorders>
            <w:shd w:val="clear" w:color="auto" w:fill="DAE9F7" w:themeFill="text2" w:themeFillTint="1A"/>
            <w:tcMar>
              <w:top w:w="80" w:type="dxa"/>
              <w:left w:w="120" w:type="dxa"/>
              <w:bottom w:w="80" w:type="dxa"/>
              <w:right w:w="120" w:type="dxa"/>
            </w:tcMar>
          </w:tcPr>
          <w:p w14:paraId="1FF8A1C0" w14:textId="4D51C508" w:rsidR="00CE1566" w:rsidRPr="00E9027C" w:rsidRDefault="762591B0" w:rsidP="00CE1566">
            <w:pPr>
              <w:rPr>
                <w:sz w:val="20"/>
                <w:szCs w:val="20"/>
              </w:rPr>
            </w:pPr>
            <w:r w:rsidRPr="7B94A7FC">
              <w:rPr>
                <w:rStyle w:val="Emphasis"/>
                <w:i w:val="0"/>
                <w:iCs w:val="0"/>
                <w:sz w:val="20"/>
                <w:szCs w:val="20"/>
              </w:rPr>
              <w:t xml:space="preserve">The </w:t>
            </w:r>
            <w:r w:rsidR="00EF52AA">
              <w:rPr>
                <w:rStyle w:val="Emphasis"/>
                <w:i w:val="0"/>
                <w:iCs w:val="0"/>
                <w:sz w:val="20"/>
                <w:szCs w:val="20"/>
              </w:rPr>
              <w:t>exhibitio</w:t>
            </w:r>
            <w:r w:rsidR="0024154E">
              <w:rPr>
                <w:rStyle w:val="Emphasis"/>
                <w:i w:val="0"/>
                <w:iCs w:val="0"/>
                <w:sz w:val="20"/>
                <w:szCs w:val="20"/>
              </w:rPr>
              <w:t>n b</w:t>
            </w:r>
            <w:r w:rsidR="00E106CC">
              <w:rPr>
                <w:rStyle w:val="Emphasis"/>
                <w:i w:val="0"/>
                <w:iCs w:val="0"/>
                <w:sz w:val="20"/>
                <w:szCs w:val="20"/>
              </w:rPr>
              <w:t>rings tog</w:t>
            </w:r>
            <w:r w:rsidR="00865E7F">
              <w:rPr>
                <w:rStyle w:val="Emphasis"/>
                <w:i w:val="0"/>
                <w:iCs w:val="0"/>
                <w:sz w:val="20"/>
                <w:szCs w:val="20"/>
              </w:rPr>
              <w:t>ether f</w:t>
            </w:r>
            <w:r w:rsidR="004328D1">
              <w:rPr>
                <w:rStyle w:val="Emphasis"/>
                <w:i w:val="0"/>
                <w:iCs w:val="0"/>
                <w:sz w:val="20"/>
                <w:szCs w:val="20"/>
              </w:rPr>
              <w:t>our artis</w:t>
            </w:r>
            <w:r w:rsidR="002D3F39">
              <w:rPr>
                <w:rStyle w:val="Emphasis"/>
                <w:i w:val="0"/>
                <w:iCs w:val="0"/>
                <w:sz w:val="20"/>
                <w:szCs w:val="20"/>
              </w:rPr>
              <w:t xml:space="preserve">ts </w:t>
            </w:r>
            <w:r w:rsidR="00240CAA">
              <w:rPr>
                <w:rStyle w:val="Emphasis"/>
                <w:i w:val="0"/>
                <w:iCs w:val="0"/>
                <w:sz w:val="20"/>
                <w:szCs w:val="20"/>
              </w:rPr>
              <w:t>creating w</w:t>
            </w:r>
            <w:r w:rsidR="00023EBF">
              <w:rPr>
                <w:rStyle w:val="Emphasis"/>
                <w:i w:val="0"/>
                <w:iCs w:val="0"/>
                <w:sz w:val="20"/>
                <w:szCs w:val="20"/>
              </w:rPr>
              <w:t xml:space="preserve">orks </w:t>
            </w:r>
            <w:r w:rsidR="00FD36DA">
              <w:rPr>
                <w:rStyle w:val="Emphasis"/>
                <w:i w:val="0"/>
                <w:iCs w:val="0"/>
                <w:sz w:val="20"/>
                <w:szCs w:val="20"/>
              </w:rPr>
              <w:t>of art from d</w:t>
            </w:r>
            <w:r w:rsidR="00D344FA">
              <w:rPr>
                <w:rStyle w:val="Emphasis"/>
                <w:i w:val="0"/>
                <w:iCs w:val="0"/>
                <w:sz w:val="20"/>
                <w:szCs w:val="20"/>
              </w:rPr>
              <w:t>iscarde</w:t>
            </w:r>
            <w:r w:rsidR="00116FF2">
              <w:rPr>
                <w:rStyle w:val="Emphasis"/>
                <w:i w:val="0"/>
                <w:iCs w:val="0"/>
                <w:sz w:val="20"/>
                <w:szCs w:val="20"/>
              </w:rPr>
              <w:t>d objec</w:t>
            </w:r>
            <w:r w:rsidR="00E705ED">
              <w:rPr>
                <w:rStyle w:val="Emphasis"/>
                <w:i w:val="0"/>
                <w:iCs w:val="0"/>
                <w:sz w:val="20"/>
                <w:szCs w:val="20"/>
              </w:rPr>
              <w:t>ts</w:t>
            </w:r>
            <w:r w:rsidR="00B76E58">
              <w:rPr>
                <w:rStyle w:val="Emphasis"/>
                <w:i w:val="0"/>
                <w:iCs w:val="0"/>
                <w:sz w:val="20"/>
                <w:szCs w:val="20"/>
              </w:rPr>
              <w:t xml:space="preserve">, </w:t>
            </w:r>
            <w:r w:rsidR="00AC599D">
              <w:rPr>
                <w:rStyle w:val="Emphasis"/>
                <w:i w:val="0"/>
                <w:iCs w:val="0"/>
                <w:sz w:val="20"/>
                <w:szCs w:val="20"/>
              </w:rPr>
              <w:t>d</w:t>
            </w:r>
            <w:r w:rsidR="00592267">
              <w:rPr>
                <w:rStyle w:val="Emphasis"/>
                <w:i w:val="0"/>
                <w:iCs w:val="0"/>
                <w:sz w:val="20"/>
                <w:szCs w:val="20"/>
              </w:rPr>
              <w:t>rawing atten</w:t>
            </w:r>
            <w:r w:rsidR="005D0B8B">
              <w:rPr>
                <w:rStyle w:val="Emphasis"/>
                <w:i w:val="0"/>
                <w:iCs w:val="0"/>
                <w:sz w:val="20"/>
                <w:szCs w:val="20"/>
              </w:rPr>
              <w:t>tion to</w:t>
            </w:r>
            <w:r w:rsidR="00B27657">
              <w:rPr>
                <w:rStyle w:val="Emphasis"/>
                <w:i w:val="0"/>
                <w:iCs w:val="0"/>
                <w:sz w:val="20"/>
                <w:szCs w:val="20"/>
              </w:rPr>
              <w:t xml:space="preserve"> the </w:t>
            </w:r>
            <w:r w:rsidR="006B4B3B">
              <w:rPr>
                <w:rStyle w:val="Emphasis"/>
                <w:i w:val="0"/>
                <w:iCs w:val="0"/>
                <w:sz w:val="20"/>
                <w:szCs w:val="20"/>
              </w:rPr>
              <w:t>rami</w:t>
            </w:r>
            <w:r w:rsidR="00803AFC">
              <w:rPr>
                <w:rStyle w:val="Emphasis"/>
                <w:i w:val="0"/>
                <w:iCs w:val="0"/>
                <w:sz w:val="20"/>
                <w:szCs w:val="20"/>
              </w:rPr>
              <w:t>fications o</w:t>
            </w:r>
            <w:r w:rsidR="00BA7E6F">
              <w:rPr>
                <w:rStyle w:val="Emphasis"/>
                <w:i w:val="0"/>
                <w:iCs w:val="0"/>
                <w:sz w:val="20"/>
                <w:szCs w:val="20"/>
              </w:rPr>
              <w:t>f</w:t>
            </w:r>
            <w:r w:rsidR="005C1912">
              <w:rPr>
                <w:rStyle w:val="Emphasis"/>
                <w:i w:val="0"/>
                <w:iCs w:val="0"/>
                <w:sz w:val="20"/>
                <w:szCs w:val="20"/>
              </w:rPr>
              <w:t xml:space="preserve"> mass pr</w:t>
            </w:r>
            <w:r w:rsidR="004443C4">
              <w:rPr>
                <w:rStyle w:val="Emphasis"/>
                <w:i w:val="0"/>
                <w:iCs w:val="0"/>
                <w:sz w:val="20"/>
                <w:szCs w:val="20"/>
              </w:rPr>
              <w:t>oduction</w:t>
            </w:r>
            <w:r w:rsidR="00592793">
              <w:rPr>
                <w:rStyle w:val="Emphasis"/>
                <w:i w:val="0"/>
                <w:iCs w:val="0"/>
                <w:sz w:val="20"/>
                <w:szCs w:val="20"/>
              </w:rPr>
              <w:t>,</w:t>
            </w:r>
            <w:r w:rsidR="005D0B8B">
              <w:rPr>
                <w:rStyle w:val="Emphasis"/>
                <w:i w:val="0"/>
                <w:iCs w:val="0"/>
                <w:sz w:val="20"/>
                <w:szCs w:val="20"/>
              </w:rPr>
              <w:t xml:space="preserve"> </w:t>
            </w:r>
            <w:r w:rsidR="00B5083A">
              <w:rPr>
                <w:rStyle w:val="Emphasis"/>
                <w:i w:val="0"/>
                <w:iCs w:val="0"/>
                <w:sz w:val="20"/>
                <w:szCs w:val="20"/>
              </w:rPr>
              <w:t>consu</w:t>
            </w:r>
            <w:r w:rsidR="004B7A7B">
              <w:rPr>
                <w:rStyle w:val="Emphasis"/>
                <w:i w:val="0"/>
                <w:iCs w:val="0"/>
                <w:sz w:val="20"/>
                <w:szCs w:val="20"/>
              </w:rPr>
              <w:t>mer cultur</w:t>
            </w:r>
            <w:r w:rsidR="00E15B02">
              <w:rPr>
                <w:rStyle w:val="Emphasis"/>
                <w:i w:val="0"/>
                <w:iCs w:val="0"/>
                <w:sz w:val="20"/>
                <w:szCs w:val="20"/>
              </w:rPr>
              <w:t>e,</w:t>
            </w:r>
            <w:r w:rsidR="00D75540">
              <w:rPr>
                <w:rStyle w:val="Emphasis"/>
                <w:i w:val="0"/>
                <w:iCs w:val="0"/>
                <w:sz w:val="20"/>
                <w:szCs w:val="20"/>
              </w:rPr>
              <w:t xml:space="preserve"> and</w:t>
            </w:r>
            <w:r w:rsidR="00772B84">
              <w:rPr>
                <w:rStyle w:val="Emphasis"/>
                <w:i w:val="0"/>
                <w:iCs w:val="0"/>
                <w:sz w:val="20"/>
                <w:szCs w:val="20"/>
              </w:rPr>
              <w:t xml:space="preserve"> </w:t>
            </w:r>
            <w:r w:rsidR="00E15B02">
              <w:rPr>
                <w:rStyle w:val="Emphasis"/>
                <w:i w:val="0"/>
                <w:iCs w:val="0"/>
                <w:sz w:val="20"/>
                <w:szCs w:val="20"/>
              </w:rPr>
              <w:t>fast fa</w:t>
            </w:r>
            <w:r w:rsidR="00E1332F">
              <w:rPr>
                <w:rStyle w:val="Emphasis"/>
                <w:i w:val="0"/>
                <w:iCs w:val="0"/>
                <w:sz w:val="20"/>
                <w:szCs w:val="20"/>
              </w:rPr>
              <w:t>shion</w:t>
            </w:r>
            <w:r w:rsidR="7300846C" w:rsidRPr="7B94A7FC">
              <w:rPr>
                <w:rFonts w:cs="Arial"/>
                <w:color w:val="363C3A"/>
                <w:sz w:val="20"/>
                <w:szCs w:val="20"/>
              </w:rPr>
              <w:t>.</w:t>
            </w:r>
            <w:r w:rsidR="009A5465">
              <w:rPr>
                <w:rFonts w:cs="Arial"/>
                <w:color w:val="363C3A"/>
                <w:sz w:val="20"/>
                <w:szCs w:val="20"/>
              </w:rPr>
              <w:t xml:space="preserve"> </w:t>
            </w:r>
            <w:r w:rsidR="009A5465" w:rsidRPr="00387490">
              <w:rPr>
                <w:rFonts w:cs="Arial"/>
                <w:color w:val="363C3A"/>
                <w:sz w:val="20"/>
                <w:szCs w:val="20"/>
              </w:rPr>
              <w:t>Ea</w:t>
            </w:r>
            <w:r w:rsidR="00044B7A" w:rsidRPr="00387490">
              <w:rPr>
                <w:rFonts w:cs="Arial"/>
                <w:color w:val="363C3A"/>
                <w:sz w:val="20"/>
                <w:szCs w:val="20"/>
              </w:rPr>
              <w:t>c</w:t>
            </w:r>
            <w:r w:rsidR="003A4EE5" w:rsidRPr="00387490">
              <w:rPr>
                <w:rFonts w:cs="Arial"/>
                <w:color w:val="363C3A"/>
                <w:sz w:val="20"/>
                <w:szCs w:val="20"/>
              </w:rPr>
              <w:t xml:space="preserve">h artist </w:t>
            </w:r>
            <w:r w:rsidR="0038203A" w:rsidRPr="00387490">
              <w:rPr>
                <w:rFonts w:cs="Arial"/>
                <w:color w:val="363C3A"/>
                <w:sz w:val="20"/>
                <w:szCs w:val="20"/>
              </w:rPr>
              <w:t>consi</w:t>
            </w:r>
            <w:r w:rsidR="00DF64D6" w:rsidRPr="00387490">
              <w:rPr>
                <w:rFonts w:cs="Arial"/>
                <w:color w:val="363C3A"/>
                <w:sz w:val="20"/>
                <w:szCs w:val="20"/>
              </w:rPr>
              <w:t xml:space="preserve">ders the </w:t>
            </w:r>
            <w:r w:rsidR="00C625D3" w:rsidRPr="00387490">
              <w:rPr>
                <w:rFonts w:cs="Arial"/>
                <w:color w:val="363C3A"/>
                <w:sz w:val="20"/>
                <w:szCs w:val="20"/>
              </w:rPr>
              <w:t>compl</w:t>
            </w:r>
            <w:r w:rsidR="00334450">
              <w:rPr>
                <w:rFonts w:cs="Arial"/>
                <w:color w:val="363C3A"/>
                <w:sz w:val="20"/>
                <w:szCs w:val="20"/>
              </w:rPr>
              <w:t>ex r</w:t>
            </w:r>
            <w:r w:rsidR="00A30C8C">
              <w:rPr>
                <w:rFonts w:cs="Arial"/>
                <w:color w:val="363C3A"/>
                <w:sz w:val="20"/>
                <w:szCs w:val="20"/>
              </w:rPr>
              <w:t>elationsh</w:t>
            </w:r>
            <w:r w:rsidR="007E6351">
              <w:rPr>
                <w:rFonts w:cs="Arial"/>
                <w:color w:val="363C3A"/>
                <w:sz w:val="20"/>
                <w:szCs w:val="20"/>
              </w:rPr>
              <w:t>ip be</w:t>
            </w:r>
            <w:r w:rsidR="005D0EC0">
              <w:rPr>
                <w:rFonts w:cs="Arial"/>
                <w:color w:val="363C3A"/>
                <w:sz w:val="20"/>
                <w:szCs w:val="20"/>
              </w:rPr>
              <w:t xml:space="preserve">tween </w:t>
            </w:r>
            <w:r w:rsidR="00196016">
              <w:rPr>
                <w:rFonts w:cs="Arial"/>
                <w:color w:val="363C3A"/>
                <w:sz w:val="20"/>
                <w:szCs w:val="20"/>
              </w:rPr>
              <w:t>natu</w:t>
            </w:r>
            <w:r w:rsidR="002A2284">
              <w:rPr>
                <w:rFonts w:cs="Arial"/>
                <w:color w:val="363C3A"/>
                <w:sz w:val="20"/>
                <w:szCs w:val="20"/>
              </w:rPr>
              <w:t>re and hum</w:t>
            </w:r>
            <w:r w:rsidR="008D30BC">
              <w:rPr>
                <w:rFonts w:cs="Arial"/>
                <w:color w:val="363C3A"/>
                <w:sz w:val="20"/>
                <w:szCs w:val="20"/>
              </w:rPr>
              <w:t>anity</w:t>
            </w:r>
            <w:r w:rsidR="004D1547">
              <w:rPr>
                <w:rFonts w:cs="Arial"/>
                <w:color w:val="363C3A"/>
                <w:sz w:val="20"/>
                <w:szCs w:val="20"/>
              </w:rPr>
              <w:t>, b</w:t>
            </w:r>
            <w:r w:rsidR="00CD52D4">
              <w:rPr>
                <w:rFonts w:cs="Arial"/>
                <w:color w:val="363C3A"/>
                <w:sz w:val="20"/>
                <w:szCs w:val="20"/>
              </w:rPr>
              <w:t xml:space="preserve">y </w:t>
            </w:r>
            <w:r w:rsidR="006A4305">
              <w:rPr>
                <w:rFonts w:cs="Arial"/>
                <w:color w:val="363C3A"/>
                <w:sz w:val="20"/>
                <w:szCs w:val="20"/>
              </w:rPr>
              <w:t>vie</w:t>
            </w:r>
            <w:r w:rsidR="005A02BA">
              <w:rPr>
                <w:rFonts w:cs="Arial"/>
                <w:color w:val="363C3A"/>
                <w:sz w:val="20"/>
                <w:szCs w:val="20"/>
              </w:rPr>
              <w:t>wing w</w:t>
            </w:r>
            <w:r w:rsidR="00F22BE2">
              <w:rPr>
                <w:rFonts w:cs="Arial"/>
                <w:color w:val="363C3A"/>
                <w:sz w:val="20"/>
                <w:szCs w:val="20"/>
              </w:rPr>
              <w:t xml:space="preserve">hat we </w:t>
            </w:r>
            <w:r w:rsidR="00E94FAA">
              <w:rPr>
                <w:rFonts w:cs="Arial"/>
                <w:color w:val="363C3A"/>
                <w:sz w:val="20"/>
                <w:szCs w:val="20"/>
              </w:rPr>
              <w:t>throw a</w:t>
            </w:r>
            <w:r w:rsidR="00E87649">
              <w:rPr>
                <w:rFonts w:cs="Arial"/>
                <w:color w:val="363C3A"/>
                <w:sz w:val="20"/>
                <w:szCs w:val="20"/>
              </w:rPr>
              <w:t xml:space="preserve">way as a </w:t>
            </w:r>
            <w:r w:rsidR="00CA5E6B">
              <w:rPr>
                <w:rFonts w:cs="Arial"/>
                <w:color w:val="363C3A"/>
                <w:sz w:val="20"/>
                <w:szCs w:val="20"/>
              </w:rPr>
              <w:t xml:space="preserve">reflection of </w:t>
            </w:r>
            <w:r w:rsidR="00397E3A">
              <w:rPr>
                <w:rFonts w:cs="Arial"/>
                <w:color w:val="363C3A"/>
                <w:sz w:val="20"/>
                <w:szCs w:val="20"/>
              </w:rPr>
              <w:t>indivi</w:t>
            </w:r>
            <w:r w:rsidR="00134AD8">
              <w:rPr>
                <w:rFonts w:cs="Arial"/>
                <w:color w:val="363C3A"/>
                <w:sz w:val="20"/>
                <w:szCs w:val="20"/>
              </w:rPr>
              <w:t>dual and colle</w:t>
            </w:r>
            <w:r w:rsidR="000713E9">
              <w:rPr>
                <w:rFonts w:cs="Arial"/>
                <w:color w:val="363C3A"/>
                <w:sz w:val="20"/>
                <w:szCs w:val="20"/>
              </w:rPr>
              <w:t xml:space="preserve">ctive </w:t>
            </w:r>
            <w:r w:rsidR="00A52769">
              <w:rPr>
                <w:rFonts w:cs="Arial"/>
                <w:color w:val="363C3A"/>
                <w:sz w:val="20"/>
                <w:szCs w:val="20"/>
              </w:rPr>
              <w:t>values</w:t>
            </w:r>
            <w:r w:rsidR="00F67067">
              <w:rPr>
                <w:rFonts w:cs="Arial"/>
                <w:color w:val="363C3A"/>
                <w:sz w:val="20"/>
                <w:szCs w:val="20"/>
              </w:rPr>
              <w:t xml:space="preserve">. </w:t>
            </w:r>
          </w:p>
        </w:tc>
      </w:tr>
      <w:tr w:rsidR="00CE1566" w14:paraId="2142323D" w14:textId="77777777" w:rsidTr="47A6E535">
        <w:tc>
          <w:tcPr>
            <w:tcW w:w="2200" w:type="dxa"/>
            <w:tcBorders>
              <w:bottom w:val="single" w:sz="1" w:space="0" w:color="CCCCCC"/>
            </w:tcBorders>
            <w:shd w:val="clear" w:color="auto" w:fill="FFFFFF" w:themeFill="background1"/>
            <w:tcMar>
              <w:top w:w="80" w:type="dxa"/>
              <w:left w:w="120" w:type="dxa"/>
              <w:bottom w:w="80" w:type="dxa"/>
              <w:right w:w="120" w:type="dxa"/>
            </w:tcMar>
          </w:tcPr>
          <w:p w14:paraId="6DE16AAE" w14:textId="13A23582" w:rsidR="00CE1566" w:rsidRDefault="49EFC15A" w:rsidP="00CE1566">
            <w:r w:rsidRPr="47A6E535">
              <w:rPr>
                <w:sz w:val="20"/>
                <w:szCs w:val="20"/>
              </w:rPr>
              <w:t>“</w:t>
            </w:r>
            <w:r w:rsidRPr="47A6E535">
              <w:rPr>
                <w:i/>
                <w:iCs/>
                <w:sz w:val="20"/>
                <w:szCs w:val="20"/>
              </w:rPr>
              <w:t xml:space="preserve">The Aesthetics of Information”: No </w:t>
            </w:r>
            <w:proofErr w:type="spellStart"/>
            <w:r w:rsidRPr="47A6E535">
              <w:rPr>
                <w:i/>
                <w:iCs/>
                <w:sz w:val="20"/>
                <w:szCs w:val="20"/>
              </w:rPr>
              <w:t>Olvidaremos</w:t>
            </w:r>
            <w:proofErr w:type="spellEnd"/>
            <w:r w:rsidRPr="47A6E535">
              <w:rPr>
                <w:sz w:val="20"/>
                <w:szCs w:val="20"/>
              </w:rPr>
              <w:t>, by María Verónica San Martín</w:t>
            </w:r>
          </w:p>
        </w:tc>
        <w:tc>
          <w:tcPr>
            <w:tcW w:w="3750" w:type="dxa"/>
            <w:tcBorders>
              <w:bottom w:val="single" w:sz="1" w:space="0" w:color="CCCCCC"/>
            </w:tcBorders>
            <w:shd w:val="clear" w:color="auto" w:fill="FFFFFF" w:themeFill="background1"/>
            <w:tcMar>
              <w:top w:w="80" w:type="dxa"/>
              <w:left w:w="120" w:type="dxa"/>
              <w:bottom w:w="80" w:type="dxa"/>
              <w:right w:w="120" w:type="dxa"/>
            </w:tcMar>
          </w:tcPr>
          <w:p w14:paraId="7BC698B5" w14:textId="5FD6DCEA" w:rsidR="00CE1566" w:rsidRPr="002C25F1" w:rsidRDefault="00CE1566" w:rsidP="00CE1566">
            <w:pPr>
              <w:rPr>
                <w:sz w:val="20"/>
                <w:szCs w:val="20"/>
              </w:rPr>
            </w:pPr>
            <w:r>
              <w:rPr>
                <w:sz w:val="20"/>
                <w:szCs w:val="20"/>
              </w:rPr>
              <w:t xml:space="preserve">Anthropology, Art History, Center for Urban and Global Studies, Community Service and Civic Engagement, English, </w:t>
            </w:r>
            <w:r w:rsidRPr="002C25F1">
              <w:rPr>
                <w:sz w:val="20"/>
                <w:szCs w:val="20"/>
              </w:rPr>
              <w:t xml:space="preserve">Hispanic Studies, History, Human Rights, </w:t>
            </w:r>
            <w:r>
              <w:rPr>
                <w:sz w:val="20"/>
                <w:szCs w:val="20"/>
              </w:rPr>
              <w:t xml:space="preserve">Interdisciplinary Studies, International Students and Scholars, </w:t>
            </w:r>
            <w:r w:rsidRPr="002C25F1">
              <w:rPr>
                <w:sz w:val="20"/>
                <w:szCs w:val="20"/>
              </w:rPr>
              <w:t xml:space="preserve">International Studies, </w:t>
            </w:r>
            <w:r>
              <w:rPr>
                <w:sz w:val="20"/>
                <w:szCs w:val="20"/>
              </w:rPr>
              <w:t xml:space="preserve">Language and Cultural Studies, Multicultural Affairs, Music, Philosophy, </w:t>
            </w:r>
            <w:r w:rsidRPr="002C25F1">
              <w:rPr>
                <w:sz w:val="20"/>
                <w:szCs w:val="20"/>
              </w:rPr>
              <w:t xml:space="preserve">Political Science, </w:t>
            </w:r>
            <w:r>
              <w:rPr>
                <w:sz w:val="20"/>
                <w:szCs w:val="20"/>
              </w:rPr>
              <w:t xml:space="preserve">Psychology, Social Justice, Sociology, </w:t>
            </w:r>
            <w:r w:rsidRPr="002C25F1">
              <w:rPr>
                <w:sz w:val="20"/>
                <w:szCs w:val="20"/>
              </w:rPr>
              <w:t>Theater and Dance</w:t>
            </w:r>
            <w:r>
              <w:rPr>
                <w:sz w:val="20"/>
                <w:szCs w:val="20"/>
              </w:rPr>
              <w:t>, Urban Studies, Women, Gender &amp; Sexuality, World Literature</w:t>
            </w:r>
          </w:p>
        </w:tc>
        <w:tc>
          <w:tcPr>
            <w:tcW w:w="3770" w:type="dxa"/>
            <w:tcBorders>
              <w:bottom w:val="single" w:sz="1" w:space="0" w:color="CCCCCC"/>
            </w:tcBorders>
            <w:shd w:val="clear" w:color="auto" w:fill="FFFFFF" w:themeFill="background1"/>
            <w:tcMar>
              <w:top w:w="80" w:type="dxa"/>
              <w:left w:w="120" w:type="dxa"/>
              <w:bottom w:w="80" w:type="dxa"/>
              <w:right w:w="120" w:type="dxa"/>
            </w:tcMar>
          </w:tcPr>
          <w:p w14:paraId="0CDD4F91" w14:textId="7192F0A4" w:rsidR="00CE1566" w:rsidRPr="006319F5" w:rsidRDefault="5B614F85" w:rsidP="47A6E535">
            <w:pPr>
              <w:pStyle w:val="pf0"/>
              <w:rPr>
                <w:rFonts w:ascii="Georgia" w:hAnsi="Georgia" w:cs="Segoe UI"/>
                <w:i/>
                <w:iCs/>
                <w:sz w:val="20"/>
                <w:szCs w:val="20"/>
              </w:rPr>
            </w:pPr>
            <w:r w:rsidRPr="47A6E535">
              <w:rPr>
                <w:rStyle w:val="cf01"/>
                <w:rFonts w:ascii="Georgia" w:hAnsi="Georgia"/>
                <w:sz w:val="20"/>
                <w:szCs w:val="20"/>
              </w:rPr>
              <w:t>“</w:t>
            </w:r>
            <w:r w:rsidR="162C10E5" w:rsidRPr="47A6E535">
              <w:rPr>
                <w:rStyle w:val="cf01"/>
                <w:rFonts w:ascii="Georgia" w:hAnsi="Georgia"/>
                <w:sz w:val="20"/>
                <w:szCs w:val="20"/>
              </w:rPr>
              <w:t>The Aesthetics of Information</w:t>
            </w:r>
            <w:r w:rsidR="462DC6EF" w:rsidRPr="47A6E535">
              <w:rPr>
                <w:rStyle w:val="cf01"/>
                <w:rFonts w:ascii="Georgia" w:hAnsi="Georgia"/>
                <w:sz w:val="20"/>
                <w:szCs w:val="20"/>
              </w:rPr>
              <w:t>”</w:t>
            </w:r>
            <w:r w:rsidR="162C10E5" w:rsidRPr="47A6E535">
              <w:rPr>
                <w:rStyle w:val="cf01"/>
                <w:rFonts w:ascii="Georgia" w:hAnsi="Georgia"/>
                <w:sz w:val="20"/>
                <w:szCs w:val="20"/>
              </w:rPr>
              <w:t xml:space="preserve">: No </w:t>
            </w:r>
            <w:proofErr w:type="spellStart"/>
            <w:r w:rsidR="162C10E5" w:rsidRPr="47A6E535">
              <w:rPr>
                <w:rStyle w:val="cf01"/>
                <w:rFonts w:ascii="Georgia" w:hAnsi="Georgia"/>
                <w:sz w:val="20"/>
                <w:szCs w:val="20"/>
              </w:rPr>
              <w:t>Olvidaremos</w:t>
            </w:r>
            <w:proofErr w:type="spellEnd"/>
            <w:r w:rsidR="162C10E5" w:rsidRPr="47A6E535">
              <w:rPr>
                <w:rStyle w:val="cf11"/>
                <w:rFonts w:ascii="Georgia" w:hAnsi="Georgia"/>
                <w:sz w:val="20"/>
                <w:szCs w:val="20"/>
              </w:rPr>
              <w:t> brings together two of María Verónica </w:t>
            </w:r>
            <w:r w:rsidR="162C10E5" w:rsidRPr="47A6E535">
              <w:rPr>
                <w:rStyle w:val="cf21"/>
                <w:rFonts w:ascii="Georgia" w:hAnsi="Georgia"/>
                <w:i w:val="0"/>
                <w:iCs w:val="0"/>
                <w:sz w:val="20"/>
                <w:szCs w:val="20"/>
              </w:rPr>
              <w:t>San Martín</w:t>
            </w:r>
            <w:r w:rsidR="162C10E5" w:rsidRPr="47A6E535">
              <w:rPr>
                <w:rStyle w:val="cf31"/>
                <w:rFonts w:ascii="Georgia" w:hAnsi="Georgia"/>
                <w:sz w:val="20"/>
                <w:szCs w:val="20"/>
              </w:rPr>
              <w:t>’s recent projects, Dignidad and The Javelin Project.</w:t>
            </w:r>
            <w:r w:rsidR="21016783" w:rsidRPr="47A6E535">
              <w:rPr>
                <w:rStyle w:val="cf31"/>
                <w:rFonts w:ascii="Georgia" w:hAnsi="Georgia"/>
                <w:sz w:val="20"/>
                <w:szCs w:val="20"/>
              </w:rPr>
              <w:t xml:space="preserve"> </w:t>
            </w:r>
            <w:r w:rsidR="162C10E5" w:rsidRPr="47A6E535">
              <w:rPr>
                <w:rStyle w:val="cf21"/>
                <w:rFonts w:ascii="Georgia" w:hAnsi="Georgia"/>
                <w:sz w:val="20"/>
                <w:szCs w:val="20"/>
              </w:rPr>
              <w:t>Dignidad</w:t>
            </w:r>
            <w:r w:rsidR="162C10E5" w:rsidRPr="47A6E535">
              <w:rPr>
                <w:rStyle w:val="cf11"/>
                <w:rFonts w:ascii="Georgia" w:hAnsi="Georgia"/>
                <w:sz w:val="20"/>
                <w:szCs w:val="20"/>
              </w:rPr>
              <w:t> is a multidisciplinary performative work based on the archive of a hidden community founded in 1961 by former Nazi officers in Southern Chile currently held at the National Archive of Chile. </w:t>
            </w:r>
            <w:r w:rsidR="162C10E5" w:rsidRPr="47A6E535">
              <w:rPr>
                <w:rStyle w:val="cf21"/>
                <w:rFonts w:ascii="Georgia" w:hAnsi="Georgia"/>
                <w:sz w:val="20"/>
                <w:szCs w:val="20"/>
              </w:rPr>
              <w:t>The Javelin Project</w:t>
            </w:r>
            <w:r w:rsidR="162C10E5" w:rsidRPr="47A6E535">
              <w:rPr>
                <w:rStyle w:val="cf11"/>
                <w:rFonts w:ascii="Georgia" w:hAnsi="Georgia"/>
                <w:sz w:val="20"/>
                <w:szCs w:val="20"/>
              </w:rPr>
              <w:t> is a three-channel video incapsulating a ritual-performance of 30 minutes with original music exploring the concept of migration, resistance, and freedom through the history of the ancestral spear to the professional javeli</w:t>
            </w:r>
            <w:r w:rsidR="162C10E5" w:rsidRPr="47A6E535">
              <w:rPr>
                <w:rStyle w:val="cf11"/>
              </w:rPr>
              <w:t>n.</w:t>
            </w:r>
          </w:p>
        </w:tc>
      </w:tr>
    </w:tbl>
    <w:p w14:paraId="472DF6CC" w14:textId="77777777" w:rsidR="00D020F9" w:rsidRDefault="00D020F9"/>
    <w:p w14:paraId="4961BB43" w14:textId="77777777" w:rsidR="00D020F9" w:rsidRDefault="00F12B88">
      <w:pPr>
        <w:pStyle w:val="Heading1"/>
      </w:pPr>
      <w:r>
        <w:t>Getting Started: What Faculty Need to Know</w:t>
      </w:r>
    </w:p>
    <w:p w14:paraId="4559DA4C" w14:textId="77777777" w:rsidR="00D020F9" w:rsidRDefault="00F12B88">
      <w:pPr>
        <w:pStyle w:val="ListParagraph"/>
        <w:numPr>
          <w:ilvl w:val="0"/>
          <w:numId w:val="1"/>
        </w:numPr>
        <w:spacing w:after="80"/>
      </w:pPr>
      <w:r>
        <w:rPr>
          <w:b/>
          <w:bCs/>
        </w:rPr>
        <w:t>Reach out at the start of the semester.</w:t>
      </w:r>
      <w:r>
        <w:t xml:space="preserve"> Contact the Widener Gallery early.</w:t>
      </w:r>
    </w:p>
    <w:p w14:paraId="23187119" w14:textId="69EF5EE4" w:rsidR="00D020F9" w:rsidRDefault="00FE3182">
      <w:pPr>
        <w:pStyle w:val="ListParagraph"/>
        <w:numPr>
          <w:ilvl w:val="0"/>
          <w:numId w:val="2"/>
        </w:numPr>
        <w:spacing w:after="100"/>
      </w:pPr>
      <w:r>
        <w:t xml:space="preserve">Upcoming exhibitions will be listed on Widener Gallery’s website, and </w:t>
      </w:r>
      <w:r w:rsidR="00F12B88">
        <w:t xml:space="preserve">Lisa Lynch welcomes the opportunity to discuss how a current or upcoming exhibition might connect to your course themes. </w:t>
      </w:r>
      <w:r w:rsidR="00AD5582">
        <w:t xml:space="preserve">Reaching out </w:t>
      </w:r>
      <w:r>
        <w:t>a semester in advance or early in the semester</w:t>
      </w:r>
      <w:r w:rsidR="00F12B88">
        <w:t xml:space="preserve"> ensures the visit fits naturally into your syllabus.</w:t>
      </w:r>
    </w:p>
    <w:p w14:paraId="5E625A71" w14:textId="49E4A92C" w:rsidR="00D020F9" w:rsidRDefault="00F12B88">
      <w:pPr>
        <w:pBdr>
          <w:top w:val="single" w:sz="6" w:space="4" w:color="5B7FA6"/>
        </w:pBdr>
        <w:spacing w:before="280" w:after="80"/>
      </w:pPr>
      <w:r w:rsidRPr="00C4329A">
        <w:rPr>
          <w:i/>
          <w:iCs/>
          <w:color w:val="555555"/>
        </w:rPr>
        <w:t xml:space="preserve">The Widener Gallery </w:t>
      </w:r>
      <w:r w:rsidR="00D50F60">
        <w:rPr>
          <w:i/>
          <w:iCs/>
          <w:color w:val="555555"/>
        </w:rPr>
        <w:t>welcomes</w:t>
      </w:r>
      <w:r w:rsidR="006A2D1D">
        <w:rPr>
          <w:i/>
          <w:iCs/>
          <w:color w:val="555555"/>
        </w:rPr>
        <w:t xml:space="preserve"> all members of the Trinity Community</w:t>
      </w:r>
      <w:r>
        <w:rPr>
          <w:i/>
          <w:iCs/>
          <w:color w:val="555555"/>
        </w:rPr>
        <w:t xml:space="preserve">. If you are curious about how a current or upcoming exhibition might fit your teaching, please reach out. </w:t>
      </w:r>
    </w:p>
    <w:p w14:paraId="7E347D0F" w14:textId="1670602D" w:rsidR="00D020F9" w:rsidRDefault="06E25944">
      <w:pPr>
        <w:spacing w:before="80"/>
      </w:pPr>
      <w:r w:rsidRPr="47A6E535">
        <w:rPr>
          <w:rFonts w:ascii="Arial" w:eastAsia="Arial" w:hAnsi="Arial" w:cs="Arial"/>
          <w:color w:val="999999"/>
          <w:sz w:val="20"/>
          <w:szCs w:val="20"/>
        </w:rPr>
        <w:t xml:space="preserve">Lisa Lynch, </w:t>
      </w:r>
      <w:r w:rsidR="7DE0A028" w:rsidRPr="47A6E535">
        <w:rPr>
          <w:rFonts w:ascii="Arial" w:eastAsia="Arial" w:hAnsi="Arial" w:cs="Arial"/>
          <w:color w:val="999999"/>
          <w:sz w:val="20"/>
          <w:szCs w:val="20"/>
        </w:rPr>
        <w:t xml:space="preserve">Director &amp; Organizing Curator, </w:t>
      </w:r>
      <w:r w:rsidRPr="47A6E535">
        <w:rPr>
          <w:rFonts w:ascii="Arial" w:eastAsia="Arial" w:hAnsi="Arial" w:cs="Arial"/>
          <w:color w:val="999999"/>
          <w:sz w:val="20"/>
          <w:szCs w:val="20"/>
        </w:rPr>
        <w:t>Widener Gallery: lisa.lynch@trincoll.edu, 860-297-5237 | CTL: ctl@trincoll.edu</w:t>
      </w:r>
    </w:p>
    <w:sectPr w:rsidR="00D020F9">
      <w:pgSz w:w="12240" w:h="15840"/>
      <w:pgMar w:top="1080" w:right="1260" w:bottom="1080" w:left="126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zd16ode1DRS0C9" int2:id="r6MEmyMb">
      <int2:state int2:value="Rejected" int2:type="spell"/>
    </int2:textHash>
    <int2:bookmark int2:bookmarkName="_Int_obrIp5hk" int2:invalidationBookmarkName="" int2:hashCode="kBSSImrYk36b7/" int2:id="kTVNGQtn">
      <int2:state int2:value="Rejected" int2:type="gram"/>
    </int2:bookmark>
    <int2:bookmark int2:bookmarkName="_Int_uzvxrRJI" int2:invalidationBookmarkName="" int2:hashCode="XmwGUNT5NfwTLY" int2:id="aR6jRyJN">
      <int2:state int2:value="Rejected" int2:type="gram"/>
    </int2:bookmark>
    <int2:bookmark int2:bookmarkName="_Int_H0iMLOjo" int2:invalidationBookmarkName="" int2:hashCode="3yEczdlKY+C8ue" int2:id="rQphRwXU">
      <int2:state int2:value="Rejected" int2:type="gram"/>
    </int2:bookmark>
    <int2:bookmark int2:bookmarkName="_Int_aBZBaiPl" int2:invalidationBookmarkName="" int2:hashCode="fXKJtd5NMgXiPt" int2:id="OTz6o5T0">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9079B3"/>
    <w:multiLevelType w:val="hybridMultilevel"/>
    <w:tmpl w:val="47CCBD02"/>
    <w:lvl w:ilvl="0" w:tplc="6F707972">
      <w:start w:val="1"/>
      <w:numFmt w:val="bullet"/>
      <w:lvlText w:val="◦"/>
      <w:lvlJc w:val="left"/>
      <w:pPr>
        <w:ind w:left="1080" w:hanging="360"/>
      </w:pPr>
      <w:rPr>
        <w:rFonts w:ascii="Arial" w:eastAsia="Arial" w:hAnsi="Arial" w:cs="Arial"/>
        <w:sz w:val="20"/>
        <w:szCs w:val="20"/>
      </w:rPr>
    </w:lvl>
    <w:lvl w:ilvl="1" w:tplc="938A8BE6">
      <w:numFmt w:val="decimal"/>
      <w:lvlText w:val=""/>
      <w:lvlJc w:val="left"/>
    </w:lvl>
    <w:lvl w:ilvl="2" w:tplc="703C32DE">
      <w:numFmt w:val="decimal"/>
      <w:lvlText w:val=""/>
      <w:lvlJc w:val="left"/>
    </w:lvl>
    <w:lvl w:ilvl="3" w:tplc="D2EC27C0">
      <w:numFmt w:val="decimal"/>
      <w:lvlText w:val=""/>
      <w:lvlJc w:val="left"/>
    </w:lvl>
    <w:lvl w:ilvl="4" w:tplc="5BFEB73C">
      <w:numFmt w:val="decimal"/>
      <w:lvlText w:val=""/>
      <w:lvlJc w:val="left"/>
    </w:lvl>
    <w:lvl w:ilvl="5" w:tplc="13E0E9D8">
      <w:numFmt w:val="decimal"/>
      <w:lvlText w:val=""/>
      <w:lvlJc w:val="left"/>
    </w:lvl>
    <w:lvl w:ilvl="6" w:tplc="B922C8DC">
      <w:numFmt w:val="decimal"/>
      <w:lvlText w:val=""/>
      <w:lvlJc w:val="left"/>
    </w:lvl>
    <w:lvl w:ilvl="7" w:tplc="52AE51EE">
      <w:numFmt w:val="decimal"/>
      <w:lvlText w:val=""/>
      <w:lvlJc w:val="left"/>
    </w:lvl>
    <w:lvl w:ilvl="8" w:tplc="7B6EBF4E">
      <w:numFmt w:val="decimal"/>
      <w:lvlText w:val=""/>
      <w:lvlJc w:val="left"/>
    </w:lvl>
  </w:abstractNum>
  <w:abstractNum w:abstractNumId="1" w15:restartNumberingAfterBreak="0">
    <w:nsid w:val="4301493E"/>
    <w:multiLevelType w:val="hybridMultilevel"/>
    <w:tmpl w:val="1D0A4C7A"/>
    <w:lvl w:ilvl="0" w:tplc="62E68774">
      <w:start w:val="1"/>
      <w:numFmt w:val="bullet"/>
      <w:lvlText w:val="●"/>
      <w:lvlJc w:val="left"/>
      <w:pPr>
        <w:ind w:left="720" w:hanging="360"/>
      </w:pPr>
    </w:lvl>
    <w:lvl w:ilvl="1" w:tplc="F9168366">
      <w:start w:val="1"/>
      <w:numFmt w:val="bullet"/>
      <w:lvlText w:val="○"/>
      <w:lvlJc w:val="left"/>
      <w:pPr>
        <w:ind w:left="1440" w:hanging="360"/>
      </w:pPr>
    </w:lvl>
    <w:lvl w:ilvl="2" w:tplc="6092506E">
      <w:start w:val="1"/>
      <w:numFmt w:val="bullet"/>
      <w:lvlText w:val="■"/>
      <w:lvlJc w:val="left"/>
      <w:pPr>
        <w:ind w:left="2160" w:hanging="360"/>
      </w:pPr>
    </w:lvl>
    <w:lvl w:ilvl="3" w:tplc="0EB0DB1C">
      <w:start w:val="1"/>
      <w:numFmt w:val="bullet"/>
      <w:lvlText w:val="●"/>
      <w:lvlJc w:val="left"/>
      <w:pPr>
        <w:ind w:left="2880" w:hanging="360"/>
      </w:pPr>
    </w:lvl>
    <w:lvl w:ilvl="4" w:tplc="568A800E">
      <w:start w:val="1"/>
      <w:numFmt w:val="bullet"/>
      <w:lvlText w:val="○"/>
      <w:lvlJc w:val="left"/>
      <w:pPr>
        <w:ind w:left="3600" w:hanging="360"/>
      </w:pPr>
    </w:lvl>
    <w:lvl w:ilvl="5" w:tplc="06181B80">
      <w:start w:val="1"/>
      <w:numFmt w:val="bullet"/>
      <w:lvlText w:val="■"/>
      <w:lvlJc w:val="left"/>
      <w:pPr>
        <w:ind w:left="4320" w:hanging="360"/>
      </w:pPr>
    </w:lvl>
    <w:lvl w:ilvl="6" w:tplc="6D56DEDE">
      <w:start w:val="1"/>
      <w:numFmt w:val="bullet"/>
      <w:lvlText w:val="●"/>
      <w:lvlJc w:val="left"/>
      <w:pPr>
        <w:ind w:left="5040" w:hanging="360"/>
      </w:pPr>
    </w:lvl>
    <w:lvl w:ilvl="7" w:tplc="9192243A">
      <w:start w:val="1"/>
      <w:numFmt w:val="bullet"/>
      <w:lvlText w:val="●"/>
      <w:lvlJc w:val="left"/>
      <w:pPr>
        <w:ind w:left="5760" w:hanging="360"/>
      </w:pPr>
    </w:lvl>
    <w:lvl w:ilvl="8" w:tplc="4FCE1040">
      <w:start w:val="1"/>
      <w:numFmt w:val="bullet"/>
      <w:lvlText w:val="●"/>
      <w:lvlJc w:val="left"/>
      <w:pPr>
        <w:ind w:left="6480" w:hanging="360"/>
      </w:pPr>
    </w:lvl>
  </w:abstractNum>
  <w:abstractNum w:abstractNumId="2" w15:restartNumberingAfterBreak="0">
    <w:nsid w:val="55196D46"/>
    <w:multiLevelType w:val="hybridMultilevel"/>
    <w:tmpl w:val="C0A879C2"/>
    <w:lvl w:ilvl="0" w:tplc="84B6DDA6">
      <w:start w:val="1"/>
      <w:numFmt w:val="bullet"/>
      <w:lvlText w:val="•"/>
      <w:lvlJc w:val="left"/>
      <w:pPr>
        <w:ind w:left="720" w:hanging="360"/>
      </w:pPr>
      <w:rPr>
        <w:rFonts w:ascii="Arial" w:eastAsia="Arial" w:hAnsi="Arial" w:cs="Arial"/>
        <w:sz w:val="22"/>
        <w:szCs w:val="22"/>
      </w:rPr>
    </w:lvl>
    <w:lvl w:ilvl="1" w:tplc="EC760E28">
      <w:numFmt w:val="decimal"/>
      <w:lvlText w:val=""/>
      <w:lvlJc w:val="left"/>
    </w:lvl>
    <w:lvl w:ilvl="2" w:tplc="9272B46A">
      <w:numFmt w:val="decimal"/>
      <w:lvlText w:val=""/>
      <w:lvlJc w:val="left"/>
    </w:lvl>
    <w:lvl w:ilvl="3" w:tplc="E6667BD8">
      <w:numFmt w:val="decimal"/>
      <w:lvlText w:val=""/>
      <w:lvlJc w:val="left"/>
    </w:lvl>
    <w:lvl w:ilvl="4" w:tplc="B0867EB0">
      <w:numFmt w:val="decimal"/>
      <w:lvlText w:val=""/>
      <w:lvlJc w:val="left"/>
    </w:lvl>
    <w:lvl w:ilvl="5" w:tplc="B0C60A10">
      <w:numFmt w:val="decimal"/>
      <w:lvlText w:val=""/>
      <w:lvlJc w:val="left"/>
    </w:lvl>
    <w:lvl w:ilvl="6" w:tplc="742AD972">
      <w:numFmt w:val="decimal"/>
      <w:lvlText w:val=""/>
      <w:lvlJc w:val="left"/>
    </w:lvl>
    <w:lvl w:ilvl="7" w:tplc="8A5A198C">
      <w:numFmt w:val="decimal"/>
      <w:lvlText w:val=""/>
      <w:lvlJc w:val="left"/>
    </w:lvl>
    <w:lvl w:ilvl="8" w:tplc="934AE31E">
      <w:numFmt w:val="decimal"/>
      <w:lvlText w:val=""/>
      <w:lvlJc w:val="left"/>
    </w:lvl>
  </w:abstractNum>
  <w:num w:numId="1" w16cid:durableId="1447699043">
    <w:abstractNumId w:val="2"/>
    <w:lvlOverride w:ilvl="0">
      <w:startOverride w:val="1"/>
    </w:lvlOverride>
  </w:num>
  <w:num w:numId="2" w16cid:durableId="427048965">
    <w:abstractNumId w:val="0"/>
    <w:lvlOverride w:ilvl="0">
      <w:startOverride w:val="1"/>
    </w:lvlOverride>
  </w:num>
  <w:num w:numId="3" w16cid:durableId="976111637">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20F9"/>
    <w:rsid w:val="00001E88"/>
    <w:rsid w:val="0000665D"/>
    <w:rsid w:val="00023EBF"/>
    <w:rsid w:val="00027ACF"/>
    <w:rsid w:val="00033255"/>
    <w:rsid w:val="00035D78"/>
    <w:rsid w:val="00044B7A"/>
    <w:rsid w:val="00045AD8"/>
    <w:rsid w:val="000466DE"/>
    <w:rsid w:val="00046F8C"/>
    <w:rsid w:val="000713E9"/>
    <w:rsid w:val="00076CD9"/>
    <w:rsid w:val="00091FAE"/>
    <w:rsid w:val="000A1F7A"/>
    <w:rsid w:val="000A3C12"/>
    <w:rsid w:val="000A64B9"/>
    <w:rsid w:val="000B3BB0"/>
    <w:rsid w:val="000B5F0F"/>
    <w:rsid w:val="000C0EDF"/>
    <w:rsid w:val="000C1869"/>
    <w:rsid w:val="000D14A0"/>
    <w:rsid w:val="000D1649"/>
    <w:rsid w:val="000D658E"/>
    <w:rsid w:val="000F1492"/>
    <w:rsid w:val="00101674"/>
    <w:rsid w:val="00101D37"/>
    <w:rsid w:val="0011247C"/>
    <w:rsid w:val="00116FF2"/>
    <w:rsid w:val="00125F1E"/>
    <w:rsid w:val="00127F00"/>
    <w:rsid w:val="00134AD8"/>
    <w:rsid w:val="00141E4C"/>
    <w:rsid w:val="00143578"/>
    <w:rsid w:val="00145920"/>
    <w:rsid w:val="00150E7E"/>
    <w:rsid w:val="00150F6D"/>
    <w:rsid w:val="0015329D"/>
    <w:rsid w:val="00157F7A"/>
    <w:rsid w:val="00160F80"/>
    <w:rsid w:val="00161CBA"/>
    <w:rsid w:val="0016290E"/>
    <w:rsid w:val="0016491C"/>
    <w:rsid w:val="00165A38"/>
    <w:rsid w:val="00185C57"/>
    <w:rsid w:val="001863F5"/>
    <w:rsid w:val="00186DE1"/>
    <w:rsid w:val="00190D67"/>
    <w:rsid w:val="001954FC"/>
    <w:rsid w:val="00196016"/>
    <w:rsid w:val="00196D7B"/>
    <w:rsid w:val="0019747C"/>
    <w:rsid w:val="001A5887"/>
    <w:rsid w:val="001A625A"/>
    <w:rsid w:val="001A739F"/>
    <w:rsid w:val="001B2471"/>
    <w:rsid w:val="001B3C33"/>
    <w:rsid w:val="001B467D"/>
    <w:rsid w:val="001C1BFD"/>
    <w:rsid w:val="001C4FCB"/>
    <w:rsid w:val="001C556B"/>
    <w:rsid w:val="001D0A5F"/>
    <w:rsid w:val="001F7166"/>
    <w:rsid w:val="0020087D"/>
    <w:rsid w:val="0021144A"/>
    <w:rsid w:val="0021285D"/>
    <w:rsid w:val="00222969"/>
    <w:rsid w:val="00240CAA"/>
    <w:rsid w:val="0024154E"/>
    <w:rsid w:val="0024337A"/>
    <w:rsid w:val="00251EFC"/>
    <w:rsid w:val="00261A63"/>
    <w:rsid w:val="00272631"/>
    <w:rsid w:val="00273FCC"/>
    <w:rsid w:val="0027569C"/>
    <w:rsid w:val="002819D7"/>
    <w:rsid w:val="00291F24"/>
    <w:rsid w:val="002A2284"/>
    <w:rsid w:val="002B7EB3"/>
    <w:rsid w:val="002C25F1"/>
    <w:rsid w:val="002C7B6A"/>
    <w:rsid w:val="002C7BE6"/>
    <w:rsid w:val="002D1133"/>
    <w:rsid w:val="002D14E2"/>
    <w:rsid w:val="002D3F39"/>
    <w:rsid w:val="002D40F2"/>
    <w:rsid w:val="002E1EE0"/>
    <w:rsid w:val="002F1AF2"/>
    <w:rsid w:val="003068FF"/>
    <w:rsid w:val="0030744B"/>
    <w:rsid w:val="00330B29"/>
    <w:rsid w:val="00332599"/>
    <w:rsid w:val="00333472"/>
    <w:rsid w:val="00334450"/>
    <w:rsid w:val="003421BF"/>
    <w:rsid w:val="00350E47"/>
    <w:rsid w:val="00362FE7"/>
    <w:rsid w:val="00373272"/>
    <w:rsid w:val="003750D9"/>
    <w:rsid w:val="0038203A"/>
    <w:rsid w:val="00386B9A"/>
    <w:rsid w:val="00387490"/>
    <w:rsid w:val="00396983"/>
    <w:rsid w:val="00397E3A"/>
    <w:rsid w:val="003A4EE5"/>
    <w:rsid w:val="003B5111"/>
    <w:rsid w:val="003B745C"/>
    <w:rsid w:val="003C699C"/>
    <w:rsid w:val="003D43BC"/>
    <w:rsid w:val="003D4D20"/>
    <w:rsid w:val="003E522F"/>
    <w:rsid w:val="0040175B"/>
    <w:rsid w:val="004170F2"/>
    <w:rsid w:val="00421607"/>
    <w:rsid w:val="004328D1"/>
    <w:rsid w:val="00432B4D"/>
    <w:rsid w:val="004443C4"/>
    <w:rsid w:val="00444EB3"/>
    <w:rsid w:val="00457327"/>
    <w:rsid w:val="004645DD"/>
    <w:rsid w:val="004711FD"/>
    <w:rsid w:val="00482BCC"/>
    <w:rsid w:val="00497204"/>
    <w:rsid w:val="004A1EBF"/>
    <w:rsid w:val="004B1FB8"/>
    <w:rsid w:val="004B7A7B"/>
    <w:rsid w:val="004C6F38"/>
    <w:rsid w:val="004D1547"/>
    <w:rsid w:val="004D58BF"/>
    <w:rsid w:val="004E7818"/>
    <w:rsid w:val="004F0691"/>
    <w:rsid w:val="00521ACE"/>
    <w:rsid w:val="0053077C"/>
    <w:rsid w:val="00530E13"/>
    <w:rsid w:val="005339E0"/>
    <w:rsid w:val="005431DB"/>
    <w:rsid w:val="00545733"/>
    <w:rsid w:val="005475B3"/>
    <w:rsid w:val="005508ED"/>
    <w:rsid w:val="0055171C"/>
    <w:rsid w:val="00551D9B"/>
    <w:rsid w:val="00553EC6"/>
    <w:rsid w:val="005608E9"/>
    <w:rsid w:val="00561463"/>
    <w:rsid w:val="00573129"/>
    <w:rsid w:val="00575527"/>
    <w:rsid w:val="005876E4"/>
    <w:rsid w:val="00592267"/>
    <w:rsid w:val="00592793"/>
    <w:rsid w:val="005A02BA"/>
    <w:rsid w:val="005A1D20"/>
    <w:rsid w:val="005A24DF"/>
    <w:rsid w:val="005A261D"/>
    <w:rsid w:val="005A28DA"/>
    <w:rsid w:val="005A2CF8"/>
    <w:rsid w:val="005A49F9"/>
    <w:rsid w:val="005B3635"/>
    <w:rsid w:val="005B4B92"/>
    <w:rsid w:val="005B7228"/>
    <w:rsid w:val="005C138C"/>
    <w:rsid w:val="005C1912"/>
    <w:rsid w:val="005D0B8B"/>
    <w:rsid w:val="005D0EC0"/>
    <w:rsid w:val="005D5C3A"/>
    <w:rsid w:val="005E44ED"/>
    <w:rsid w:val="005E5126"/>
    <w:rsid w:val="005F34F1"/>
    <w:rsid w:val="0060262D"/>
    <w:rsid w:val="00603D49"/>
    <w:rsid w:val="00605BD8"/>
    <w:rsid w:val="00611316"/>
    <w:rsid w:val="006202BD"/>
    <w:rsid w:val="00622AFE"/>
    <w:rsid w:val="00630A82"/>
    <w:rsid w:val="006319F5"/>
    <w:rsid w:val="006573F7"/>
    <w:rsid w:val="00657AB2"/>
    <w:rsid w:val="00674603"/>
    <w:rsid w:val="00693593"/>
    <w:rsid w:val="00693EC3"/>
    <w:rsid w:val="00694ADD"/>
    <w:rsid w:val="006A09FB"/>
    <w:rsid w:val="006A1FFE"/>
    <w:rsid w:val="006A2D1D"/>
    <w:rsid w:val="006A4305"/>
    <w:rsid w:val="006B488B"/>
    <w:rsid w:val="006B4B3B"/>
    <w:rsid w:val="006C11FD"/>
    <w:rsid w:val="006D0195"/>
    <w:rsid w:val="006E4C39"/>
    <w:rsid w:val="006F05B6"/>
    <w:rsid w:val="006F0733"/>
    <w:rsid w:val="007001A1"/>
    <w:rsid w:val="0070374C"/>
    <w:rsid w:val="00705B46"/>
    <w:rsid w:val="00706C75"/>
    <w:rsid w:val="00710919"/>
    <w:rsid w:val="00710F1A"/>
    <w:rsid w:val="00723FEE"/>
    <w:rsid w:val="007311D3"/>
    <w:rsid w:val="00745272"/>
    <w:rsid w:val="00760532"/>
    <w:rsid w:val="00760B5E"/>
    <w:rsid w:val="00772B84"/>
    <w:rsid w:val="007744BB"/>
    <w:rsid w:val="00777BF4"/>
    <w:rsid w:val="0078563F"/>
    <w:rsid w:val="00790E24"/>
    <w:rsid w:val="007A0940"/>
    <w:rsid w:val="007A3804"/>
    <w:rsid w:val="007A3D74"/>
    <w:rsid w:val="007B504E"/>
    <w:rsid w:val="007D5395"/>
    <w:rsid w:val="007E6351"/>
    <w:rsid w:val="007F332A"/>
    <w:rsid w:val="00803683"/>
    <w:rsid w:val="00803AFC"/>
    <w:rsid w:val="008055EA"/>
    <w:rsid w:val="00816186"/>
    <w:rsid w:val="00816A07"/>
    <w:rsid w:val="00821AD9"/>
    <w:rsid w:val="00823164"/>
    <w:rsid w:val="008275C5"/>
    <w:rsid w:val="008312B6"/>
    <w:rsid w:val="008420A6"/>
    <w:rsid w:val="00845908"/>
    <w:rsid w:val="00865E7F"/>
    <w:rsid w:val="00877CEF"/>
    <w:rsid w:val="008A43CD"/>
    <w:rsid w:val="008A75A9"/>
    <w:rsid w:val="008B34E9"/>
    <w:rsid w:val="008B60AB"/>
    <w:rsid w:val="008C2C86"/>
    <w:rsid w:val="008C4122"/>
    <w:rsid w:val="008C7309"/>
    <w:rsid w:val="008D30BC"/>
    <w:rsid w:val="008E072D"/>
    <w:rsid w:val="008E11C0"/>
    <w:rsid w:val="008E31EF"/>
    <w:rsid w:val="008E5CEB"/>
    <w:rsid w:val="008F39B1"/>
    <w:rsid w:val="00921926"/>
    <w:rsid w:val="00940AF5"/>
    <w:rsid w:val="009412ED"/>
    <w:rsid w:val="00945A5F"/>
    <w:rsid w:val="00950A6B"/>
    <w:rsid w:val="0095204B"/>
    <w:rsid w:val="009624D2"/>
    <w:rsid w:val="00964C3E"/>
    <w:rsid w:val="0097053C"/>
    <w:rsid w:val="00970BB4"/>
    <w:rsid w:val="009844BC"/>
    <w:rsid w:val="00993154"/>
    <w:rsid w:val="009935A3"/>
    <w:rsid w:val="009A4948"/>
    <w:rsid w:val="009A5465"/>
    <w:rsid w:val="009C4A4E"/>
    <w:rsid w:val="009C6731"/>
    <w:rsid w:val="009D1323"/>
    <w:rsid w:val="009D16AA"/>
    <w:rsid w:val="009D75A0"/>
    <w:rsid w:val="009E284D"/>
    <w:rsid w:val="009E58F0"/>
    <w:rsid w:val="009F146B"/>
    <w:rsid w:val="009F4133"/>
    <w:rsid w:val="00A00B1A"/>
    <w:rsid w:val="00A020D4"/>
    <w:rsid w:val="00A02591"/>
    <w:rsid w:val="00A21809"/>
    <w:rsid w:val="00A21E17"/>
    <w:rsid w:val="00A24461"/>
    <w:rsid w:val="00A30C8C"/>
    <w:rsid w:val="00A36F3E"/>
    <w:rsid w:val="00A40ED3"/>
    <w:rsid w:val="00A42040"/>
    <w:rsid w:val="00A51241"/>
    <w:rsid w:val="00A52769"/>
    <w:rsid w:val="00A6798B"/>
    <w:rsid w:val="00A70696"/>
    <w:rsid w:val="00A85859"/>
    <w:rsid w:val="00A86E74"/>
    <w:rsid w:val="00A922DA"/>
    <w:rsid w:val="00A975E4"/>
    <w:rsid w:val="00AB01BB"/>
    <w:rsid w:val="00AB7A98"/>
    <w:rsid w:val="00AC0C93"/>
    <w:rsid w:val="00AC599D"/>
    <w:rsid w:val="00AD169B"/>
    <w:rsid w:val="00AD4923"/>
    <w:rsid w:val="00AD5582"/>
    <w:rsid w:val="00AE46FB"/>
    <w:rsid w:val="00AF3DF2"/>
    <w:rsid w:val="00AF5FA0"/>
    <w:rsid w:val="00B14FAC"/>
    <w:rsid w:val="00B22429"/>
    <w:rsid w:val="00B227B3"/>
    <w:rsid w:val="00B27657"/>
    <w:rsid w:val="00B37455"/>
    <w:rsid w:val="00B42564"/>
    <w:rsid w:val="00B47BFF"/>
    <w:rsid w:val="00B50664"/>
    <w:rsid w:val="00B5083A"/>
    <w:rsid w:val="00B53717"/>
    <w:rsid w:val="00B61BB5"/>
    <w:rsid w:val="00B76E58"/>
    <w:rsid w:val="00B849B5"/>
    <w:rsid w:val="00B86C6B"/>
    <w:rsid w:val="00B86E8B"/>
    <w:rsid w:val="00B87BAA"/>
    <w:rsid w:val="00B9271E"/>
    <w:rsid w:val="00BA19C6"/>
    <w:rsid w:val="00BA50CD"/>
    <w:rsid w:val="00BA7E6F"/>
    <w:rsid w:val="00BB122B"/>
    <w:rsid w:val="00BD43C7"/>
    <w:rsid w:val="00BD5D67"/>
    <w:rsid w:val="00BD625B"/>
    <w:rsid w:val="00BD73A3"/>
    <w:rsid w:val="00BD7C91"/>
    <w:rsid w:val="00BE2609"/>
    <w:rsid w:val="00BE5D24"/>
    <w:rsid w:val="00BF418F"/>
    <w:rsid w:val="00BF489A"/>
    <w:rsid w:val="00BF6537"/>
    <w:rsid w:val="00C1388A"/>
    <w:rsid w:val="00C14DFC"/>
    <w:rsid w:val="00C308DD"/>
    <w:rsid w:val="00C32FBA"/>
    <w:rsid w:val="00C41647"/>
    <w:rsid w:val="00C4329A"/>
    <w:rsid w:val="00C50C51"/>
    <w:rsid w:val="00C52455"/>
    <w:rsid w:val="00C602A2"/>
    <w:rsid w:val="00C60490"/>
    <w:rsid w:val="00C625D3"/>
    <w:rsid w:val="00C6443C"/>
    <w:rsid w:val="00C761E0"/>
    <w:rsid w:val="00C76587"/>
    <w:rsid w:val="00C77606"/>
    <w:rsid w:val="00C9479C"/>
    <w:rsid w:val="00C94916"/>
    <w:rsid w:val="00C967EB"/>
    <w:rsid w:val="00CA0DC3"/>
    <w:rsid w:val="00CA5E6B"/>
    <w:rsid w:val="00CA6C65"/>
    <w:rsid w:val="00CB06F4"/>
    <w:rsid w:val="00CB41BD"/>
    <w:rsid w:val="00CD52D4"/>
    <w:rsid w:val="00CD532F"/>
    <w:rsid w:val="00CE1566"/>
    <w:rsid w:val="00CE6B53"/>
    <w:rsid w:val="00CE7A36"/>
    <w:rsid w:val="00CF6743"/>
    <w:rsid w:val="00CF6A10"/>
    <w:rsid w:val="00D020F9"/>
    <w:rsid w:val="00D1132C"/>
    <w:rsid w:val="00D23ABF"/>
    <w:rsid w:val="00D27A2B"/>
    <w:rsid w:val="00D344FA"/>
    <w:rsid w:val="00D50E3D"/>
    <w:rsid w:val="00D50F60"/>
    <w:rsid w:val="00D53C19"/>
    <w:rsid w:val="00D53D4C"/>
    <w:rsid w:val="00D5525E"/>
    <w:rsid w:val="00D57AAB"/>
    <w:rsid w:val="00D57F5E"/>
    <w:rsid w:val="00D65DE2"/>
    <w:rsid w:val="00D75540"/>
    <w:rsid w:val="00D77FE3"/>
    <w:rsid w:val="00D80C0F"/>
    <w:rsid w:val="00D91243"/>
    <w:rsid w:val="00D92958"/>
    <w:rsid w:val="00D945A4"/>
    <w:rsid w:val="00DA1B35"/>
    <w:rsid w:val="00DB0914"/>
    <w:rsid w:val="00DB17AC"/>
    <w:rsid w:val="00DB1C2C"/>
    <w:rsid w:val="00DC6362"/>
    <w:rsid w:val="00DC7F62"/>
    <w:rsid w:val="00DF3E6D"/>
    <w:rsid w:val="00DF64D6"/>
    <w:rsid w:val="00DF6F46"/>
    <w:rsid w:val="00DF7F43"/>
    <w:rsid w:val="00E0701C"/>
    <w:rsid w:val="00E106CC"/>
    <w:rsid w:val="00E1332F"/>
    <w:rsid w:val="00E15B02"/>
    <w:rsid w:val="00E24FFE"/>
    <w:rsid w:val="00E33C3E"/>
    <w:rsid w:val="00E354C2"/>
    <w:rsid w:val="00E40B7D"/>
    <w:rsid w:val="00E47900"/>
    <w:rsid w:val="00E53FE5"/>
    <w:rsid w:val="00E577D1"/>
    <w:rsid w:val="00E670F6"/>
    <w:rsid w:val="00E705ED"/>
    <w:rsid w:val="00E70F74"/>
    <w:rsid w:val="00E7511A"/>
    <w:rsid w:val="00E85B7E"/>
    <w:rsid w:val="00E87649"/>
    <w:rsid w:val="00E9027C"/>
    <w:rsid w:val="00E9125E"/>
    <w:rsid w:val="00E93ED4"/>
    <w:rsid w:val="00E94FAA"/>
    <w:rsid w:val="00EA0469"/>
    <w:rsid w:val="00EA2C3B"/>
    <w:rsid w:val="00EA6A92"/>
    <w:rsid w:val="00EC2090"/>
    <w:rsid w:val="00ED709B"/>
    <w:rsid w:val="00EE0F70"/>
    <w:rsid w:val="00EE1523"/>
    <w:rsid w:val="00EE1F3B"/>
    <w:rsid w:val="00EE6749"/>
    <w:rsid w:val="00EF52AA"/>
    <w:rsid w:val="00F04AAC"/>
    <w:rsid w:val="00F12B88"/>
    <w:rsid w:val="00F22BE2"/>
    <w:rsid w:val="00F26E4D"/>
    <w:rsid w:val="00F35A72"/>
    <w:rsid w:val="00F44C15"/>
    <w:rsid w:val="00F45599"/>
    <w:rsid w:val="00F571D7"/>
    <w:rsid w:val="00F5751F"/>
    <w:rsid w:val="00F6082A"/>
    <w:rsid w:val="00F611B0"/>
    <w:rsid w:val="00F63405"/>
    <w:rsid w:val="00F65680"/>
    <w:rsid w:val="00F66327"/>
    <w:rsid w:val="00F67067"/>
    <w:rsid w:val="00F67AA3"/>
    <w:rsid w:val="00F86162"/>
    <w:rsid w:val="00F954B5"/>
    <w:rsid w:val="00F9763F"/>
    <w:rsid w:val="00FB34C1"/>
    <w:rsid w:val="00FC293F"/>
    <w:rsid w:val="00FD1357"/>
    <w:rsid w:val="00FD1DD9"/>
    <w:rsid w:val="00FD1F9A"/>
    <w:rsid w:val="00FD25B5"/>
    <w:rsid w:val="00FD2DEE"/>
    <w:rsid w:val="00FD36DA"/>
    <w:rsid w:val="00FD4BDB"/>
    <w:rsid w:val="00FE0474"/>
    <w:rsid w:val="00FE0C13"/>
    <w:rsid w:val="00FE3182"/>
    <w:rsid w:val="00FE6D6C"/>
    <w:rsid w:val="00FF68A5"/>
    <w:rsid w:val="03BF732E"/>
    <w:rsid w:val="06A47701"/>
    <w:rsid w:val="06E25944"/>
    <w:rsid w:val="07810484"/>
    <w:rsid w:val="082E0BD1"/>
    <w:rsid w:val="0952BED7"/>
    <w:rsid w:val="09FFEDA1"/>
    <w:rsid w:val="0BD129EE"/>
    <w:rsid w:val="11B58DAC"/>
    <w:rsid w:val="134DAC91"/>
    <w:rsid w:val="162C10E5"/>
    <w:rsid w:val="165AAE55"/>
    <w:rsid w:val="17646935"/>
    <w:rsid w:val="18C4FF69"/>
    <w:rsid w:val="19806B67"/>
    <w:rsid w:val="1AA4AE0C"/>
    <w:rsid w:val="1D0C974C"/>
    <w:rsid w:val="1E8882B3"/>
    <w:rsid w:val="20DF45DA"/>
    <w:rsid w:val="21016783"/>
    <w:rsid w:val="22A0700A"/>
    <w:rsid w:val="23A5D1E5"/>
    <w:rsid w:val="2762EAF3"/>
    <w:rsid w:val="29206A3A"/>
    <w:rsid w:val="29B223ED"/>
    <w:rsid w:val="2E03DCEB"/>
    <w:rsid w:val="2ED929E4"/>
    <w:rsid w:val="31DB3A36"/>
    <w:rsid w:val="34407695"/>
    <w:rsid w:val="35217E53"/>
    <w:rsid w:val="36F60CEC"/>
    <w:rsid w:val="37752F11"/>
    <w:rsid w:val="37EBD49E"/>
    <w:rsid w:val="3BA90FB5"/>
    <w:rsid w:val="3BB857A5"/>
    <w:rsid w:val="3D3A2924"/>
    <w:rsid w:val="3E5D96CA"/>
    <w:rsid w:val="3EFED9C0"/>
    <w:rsid w:val="3FC4693A"/>
    <w:rsid w:val="43038F7C"/>
    <w:rsid w:val="440F05D0"/>
    <w:rsid w:val="44DA3E87"/>
    <w:rsid w:val="45693B45"/>
    <w:rsid w:val="46026207"/>
    <w:rsid w:val="462DC6EF"/>
    <w:rsid w:val="47A6E535"/>
    <w:rsid w:val="47AB1B91"/>
    <w:rsid w:val="48C33847"/>
    <w:rsid w:val="49EA517D"/>
    <w:rsid w:val="49EFC15A"/>
    <w:rsid w:val="4BAF76CC"/>
    <w:rsid w:val="4BB0FB10"/>
    <w:rsid w:val="545B1BBC"/>
    <w:rsid w:val="571BE1B9"/>
    <w:rsid w:val="578FB5A4"/>
    <w:rsid w:val="58430D43"/>
    <w:rsid w:val="5AE294A9"/>
    <w:rsid w:val="5B614F85"/>
    <w:rsid w:val="5C87E1B8"/>
    <w:rsid w:val="5D20B582"/>
    <w:rsid w:val="5E03A378"/>
    <w:rsid w:val="5EF79C73"/>
    <w:rsid w:val="6216E5A1"/>
    <w:rsid w:val="627C5120"/>
    <w:rsid w:val="63DD21B7"/>
    <w:rsid w:val="66264B7F"/>
    <w:rsid w:val="66E1BDDB"/>
    <w:rsid w:val="69AEA369"/>
    <w:rsid w:val="6A073E0D"/>
    <w:rsid w:val="6A66ADEE"/>
    <w:rsid w:val="6C5AC74F"/>
    <w:rsid w:val="7300846C"/>
    <w:rsid w:val="74D4E73E"/>
    <w:rsid w:val="762591B0"/>
    <w:rsid w:val="76805257"/>
    <w:rsid w:val="7ABB0CE3"/>
    <w:rsid w:val="7B94A7FC"/>
    <w:rsid w:val="7DE0A028"/>
    <w:rsid w:val="7FAC6B5F"/>
    <w:rsid w:val="7FAC82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D2E6F"/>
  <w15:docId w15:val="{E737E7AB-A54A-4CFA-B527-A9902586E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Georgia" w:hAnsi="Georgia" w:cs="Georgia"/>
        <w:sz w:val="22"/>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80" w:after="100"/>
      <w:outlineLvl w:val="0"/>
    </w:pPr>
    <w:rPr>
      <w:rFonts w:ascii="Arial" w:eastAsia="Arial" w:hAnsi="Arial" w:cs="Arial"/>
      <w:b/>
      <w:bCs/>
      <w:color w:val="2C4770"/>
      <w:sz w:val="28"/>
      <w:szCs w:val="28"/>
    </w:rPr>
  </w:style>
  <w:style w:type="paragraph" w:styleId="Heading2">
    <w:name w:val="heading 2"/>
    <w:uiPriority w:val="9"/>
    <w:unhideWhenUsed/>
    <w:qFormat/>
    <w:pPr>
      <w:spacing w:before="200" w:after="80"/>
      <w:outlineLvl w:val="1"/>
    </w:pPr>
    <w:rPr>
      <w:rFonts w:ascii="Arial" w:eastAsia="Arial" w:hAnsi="Arial" w:cs="Arial"/>
      <w:b/>
      <w:bCs/>
      <w:color w:val="5B7FA6"/>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Revision">
    <w:name w:val="Revision"/>
    <w:hidden/>
    <w:uiPriority w:val="99"/>
    <w:semiHidden/>
    <w:rsid w:val="00261A63"/>
  </w:style>
  <w:style w:type="character" w:styleId="CommentReference">
    <w:name w:val="annotation reference"/>
    <w:basedOn w:val="DefaultParagraphFont"/>
    <w:uiPriority w:val="99"/>
    <w:semiHidden/>
    <w:unhideWhenUsed/>
    <w:rsid w:val="0016491C"/>
    <w:rPr>
      <w:sz w:val="16"/>
      <w:szCs w:val="16"/>
    </w:rPr>
  </w:style>
  <w:style w:type="paragraph" w:styleId="CommentText">
    <w:name w:val="annotation text"/>
    <w:basedOn w:val="Normal"/>
    <w:link w:val="CommentTextChar"/>
    <w:uiPriority w:val="99"/>
    <w:unhideWhenUsed/>
    <w:rsid w:val="0016491C"/>
    <w:rPr>
      <w:sz w:val="20"/>
      <w:szCs w:val="20"/>
    </w:rPr>
  </w:style>
  <w:style w:type="character" w:customStyle="1" w:styleId="CommentTextChar">
    <w:name w:val="Comment Text Char"/>
    <w:basedOn w:val="DefaultParagraphFont"/>
    <w:link w:val="CommentText"/>
    <w:uiPriority w:val="99"/>
    <w:rsid w:val="0016491C"/>
    <w:rPr>
      <w:sz w:val="20"/>
      <w:szCs w:val="20"/>
    </w:rPr>
  </w:style>
  <w:style w:type="paragraph" w:styleId="CommentSubject">
    <w:name w:val="annotation subject"/>
    <w:basedOn w:val="CommentText"/>
    <w:next w:val="CommentText"/>
    <w:link w:val="CommentSubjectChar"/>
    <w:uiPriority w:val="99"/>
    <w:semiHidden/>
    <w:unhideWhenUsed/>
    <w:rsid w:val="0016491C"/>
    <w:rPr>
      <w:b/>
      <w:bCs/>
    </w:rPr>
  </w:style>
  <w:style w:type="character" w:customStyle="1" w:styleId="CommentSubjectChar">
    <w:name w:val="Comment Subject Char"/>
    <w:basedOn w:val="CommentTextChar"/>
    <w:link w:val="CommentSubject"/>
    <w:uiPriority w:val="99"/>
    <w:semiHidden/>
    <w:rsid w:val="0016491C"/>
    <w:rPr>
      <w:b/>
      <w:bCs/>
      <w:sz w:val="20"/>
      <w:szCs w:val="20"/>
    </w:rPr>
  </w:style>
  <w:style w:type="character" w:styleId="Emphasis">
    <w:name w:val="Emphasis"/>
    <w:basedOn w:val="DefaultParagraphFont"/>
    <w:uiPriority w:val="20"/>
    <w:qFormat/>
    <w:rsid w:val="005D5C3A"/>
    <w:rPr>
      <w:i/>
      <w:iCs/>
    </w:rPr>
  </w:style>
  <w:style w:type="paragraph" w:customStyle="1" w:styleId="pf0">
    <w:name w:val="pf0"/>
    <w:basedOn w:val="Normal"/>
    <w:rsid w:val="005608E9"/>
    <w:pPr>
      <w:spacing w:before="100" w:beforeAutospacing="1" w:after="100" w:afterAutospacing="1"/>
    </w:pPr>
    <w:rPr>
      <w:rFonts w:ascii="Times New Roman" w:eastAsia="Times New Roman" w:hAnsi="Times New Roman" w:cs="Times New Roman"/>
      <w:sz w:val="24"/>
      <w:szCs w:val="24"/>
      <w:lang w:eastAsia="en-US"/>
    </w:rPr>
  </w:style>
  <w:style w:type="character" w:customStyle="1" w:styleId="cf01">
    <w:name w:val="cf01"/>
    <w:basedOn w:val="DefaultParagraphFont"/>
    <w:rsid w:val="005608E9"/>
    <w:rPr>
      <w:rFonts w:ascii="Segoe UI" w:hAnsi="Segoe UI" w:cs="Segoe UI" w:hint="default"/>
      <w:i/>
      <w:iCs/>
      <w:sz w:val="18"/>
      <w:szCs w:val="18"/>
    </w:rPr>
  </w:style>
  <w:style w:type="character" w:customStyle="1" w:styleId="cf11">
    <w:name w:val="cf11"/>
    <w:basedOn w:val="DefaultParagraphFont"/>
    <w:rsid w:val="005608E9"/>
    <w:rPr>
      <w:rFonts w:ascii="Segoe UI" w:hAnsi="Segoe UI" w:cs="Segoe UI" w:hint="default"/>
      <w:sz w:val="18"/>
      <w:szCs w:val="18"/>
    </w:rPr>
  </w:style>
  <w:style w:type="character" w:customStyle="1" w:styleId="cf21">
    <w:name w:val="cf21"/>
    <w:basedOn w:val="DefaultParagraphFont"/>
    <w:rsid w:val="005608E9"/>
    <w:rPr>
      <w:rFonts w:ascii="Segoe UI" w:hAnsi="Segoe UI" w:cs="Segoe UI" w:hint="default"/>
      <w:i/>
      <w:iCs/>
      <w:sz w:val="18"/>
      <w:szCs w:val="18"/>
    </w:rPr>
  </w:style>
  <w:style w:type="character" w:customStyle="1" w:styleId="cf31">
    <w:name w:val="cf31"/>
    <w:basedOn w:val="DefaultParagraphFont"/>
    <w:rsid w:val="005608E9"/>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20/10/relationships/intelligence" Target="intelligence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1670</Words>
  <Characters>9519</Characters>
  <Application>Microsoft Office Word</Application>
  <DocSecurity>0</DocSecurity>
  <Lines>79</Lines>
  <Paragraphs>22</Paragraphs>
  <ScaleCrop>false</ScaleCrop>
  <Company/>
  <LinksUpToDate>false</LinksUpToDate>
  <CharactersWithSpaces>11167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Lynch, Lisa</cp:lastModifiedBy>
  <cp:revision>4</cp:revision>
  <cp:lastPrinted>2026-08-24T13:11:00Z</cp:lastPrinted>
  <dcterms:created xsi:type="dcterms:W3CDTF">2026-09-18T20:00:00Z</dcterms:created>
  <dcterms:modified xsi:type="dcterms:W3CDTF">2026-09-18T20:01:00Z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4479f46f-a44e-4858-a430-64eceb6bb31e</vt:lpwstr>
  </property>
</Properties>
</file>